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highlight w:val="none"/>
        </w:rPr>
      </w:pPr>
      <w:bookmarkStart w:id="0" w:name="OLE_LINK33"/>
      <w:bookmarkStart w:id="1" w:name="OLE_LINK13"/>
      <w:bookmarkStart w:id="2" w:name="OLE_LINK34"/>
      <w:bookmarkStart w:id="3" w:name="OLE_LINK12"/>
      <w:bookmarkStart w:id="4" w:name="OLE_LINK24"/>
      <w:bookmarkStart w:id="5" w:name="OLE_LINK1"/>
      <w:r>
        <w:rPr>
          <w:rFonts w:ascii="Times New Roman" w:hAnsi="Times New Roman"/>
          <w:b/>
        </w:rPr>
        <w:t>3GPP TSG RAN WG1 #11</w:t>
      </w:r>
      <w:r>
        <w:rPr>
          <w:rFonts w:hint="eastAsia" w:ascii="Times New Roman" w:hAnsi="Times New Roman"/>
          <w:b/>
        </w:rPr>
        <w:t>3</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lang w:val="en-US" w:eastAsia="zh-CN"/>
        </w:rPr>
        <w:t xml:space="preserve">   </w:t>
      </w:r>
      <w:bookmarkStart w:id="28" w:name="_GoBack"/>
      <w:r>
        <w:rPr>
          <w:rFonts w:hint="eastAsia" w:ascii="Times New Roman" w:hAnsi="Times New Roman"/>
          <w:b/>
          <w:highlight w:val="none"/>
        </w:rPr>
        <w:t>R1-2304930</w:t>
      </w:r>
      <w:bookmarkEnd w:id="28"/>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lang w:eastAsia="ja-JP"/>
        </w:rPr>
      </w:pPr>
      <w:r>
        <w:rPr>
          <w:rFonts w:ascii="Times New Roman" w:hAnsi="Times New Roman"/>
          <w:b/>
        </w:rPr>
        <w:t>Incheon, Korea, May 22</w:t>
      </w:r>
      <w:r>
        <w:rPr>
          <w:rFonts w:ascii="Times New Roman" w:hAnsi="Times New Roman"/>
          <w:b/>
          <w:vertAlign w:val="superscript"/>
        </w:rPr>
        <w:t>nd</w:t>
      </w:r>
      <w:r>
        <w:rPr>
          <w:rFonts w:ascii="Times New Roman" w:hAnsi="Times New Roman"/>
          <w:b/>
        </w:rPr>
        <w:t xml:space="preserve"> – May 26</w:t>
      </w:r>
      <w:r>
        <w:rPr>
          <w:rFonts w:ascii="Times New Roman" w:hAnsi="Times New Roman"/>
          <w:b/>
          <w:vertAlign w:val="superscript"/>
        </w:rPr>
        <w:t>th</w:t>
      </w:r>
      <w:r>
        <w:rPr>
          <w:rFonts w:ascii="Times New Roman" w:hAnsi="Times New Roman"/>
          <w:b/>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yellow"/>
          <w:lang w:eastAsia="ja-JP"/>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Source:</w:t>
      </w:r>
      <w:r>
        <w:rPr>
          <w:rFonts w:hint="eastAsia" w:ascii="Times New Roman" w:hAnsi="Times New Roman"/>
          <w:b/>
        </w:rPr>
        <w:tab/>
      </w:r>
      <w:r>
        <w:rPr>
          <w:rFonts w:hint="eastAsia"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Title:</w:t>
      </w:r>
      <w:r>
        <w:rPr>
          <w:rFonts w:hint="eastAsia" w:ascii="Times New Roman" w:hAnsi="Times New Roman"/>
          <w:b/>
        </w:rPr>
        <w:tab/>
      </w:r>
      <w:r>
        <w:rPr>
          <w:rFonts w:hint="eastAsia" w:ascii="Times New Roman" w:hAnsi="Times New Roman"/>
          <w:b/>
        </w:rPr>
        <w:t>Discussion on carrier phase positioning</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Agenda item:</w:t>
      </w:r>
      <w:r>
        <w:rPr>
          <w:rFonts w:hint="eastAsia" w:ascii="Times New Roman" w:hAnsi="Times New Roman"/>
          <w:b/>
        </w:rPr>
        <w:tab/>
      </w:r>
      <w:r>
        <w:rPr>
          <w:rFonts w:hint="eastAsia" w:ascii="Times New Roman" w:hAnsi="Times New Roman"/>
          <w:b/>
        </w:rPr>
        <w:t>9.5.2</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Document for:</w:t>
      </w:r>
      <w:r>
        <w:rPr>
          <w:rFonts w:hint="eastAsia" w:ascii="Times New Roman" w:hAnsi="Times New Roman"/>
          <w:b/>
        </w:rPr>
        <w:tab/>
      </w:r>
      <w:r>
        <w:rPr>
          <w:rFonts w:hint="eastAsia"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Introduction</w:t>
      </w:r>
      <w:r>
        <w:rPr>
          <w:rFonts w:hint="eastAsia" w:ascii="Times New Roman" w:hAnsi="Times New Roman"/>
          <w:sz w:val="28"/>
          <w:lang w:val="en-US"/>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w:t>
      </w:r>
      <w:r>
        <w:rPr>
          <w:rFonts w:hint="eastAsia" w:ascii="Times New Roman" w:hAnsi="Times New Roman" w:eastAsia="宋体"/>
          <w:sz w:val="20"/>
          <w:szCs w:val="20"/>
        </w:rPr>
        <w:t>3GPP TSG RAN WG1#112b-e [1]</w:t>
      </w:r>
      <w:r>
        <w:rPr>
          <w:rFonts w:ascii="Times New Roman" w:hAnsi="Times New Roman" w:eastAsia="宋体"/>
          <w:sz w:val="20"/>
          <w:szCs w:val="20"/>
        </w:rPr>
        <w:t xml:space="preserve">, the following </w:t>
      </w:r>
      <w:r>
        <w:rPr>
          <w:rFonts w:hint="eastAsia" w:ascii="Times New Roman" w:hAnsi="Times New Roman" w:eastAsia="宋体"/>
          <w:sz w:val="20"/>
          <w:szCs w:val="20"/>
        </w:rPr>
        <w:t xml:space="preserve">agreements </w:t>
      </w:r>
      <w:r>
        <w:rPr>
          <w:rFonts w:ascii="Times New Roman" w:hAnsi="Times New Roman" w:eastAsia="宋体"/>
          <w:sz w:val="20"/>
          <w:szCs w:val="20"/>
        </w:rPr>
        <w:t xml:space="preserve">were </w:t>
      </w:r>
      <w:r>
        <w:rPr>
          <w:rFonts w:hint="eastAsia" w:ascii="Times New Roman" w:hAnsi="Times New Roman" w:eastAsia="宋体"/>
          <w:sz w:val="20"/>
          <w:szCs w:val="20"/>
        </w:rPr>
        <w:t>made f</w:t>
      </w:r>
      <w:r>
        <w:rPr>
          <w:rFonts w:ascii="Times New Roman" w:hAnsi="Times New Roman" w:eastAsia="宋体"/>
          <w:sz w:val="20"/>
          <w:szCs w:val="20"/>
        </w:rPr>
        <w:t xml:space="preserve">or </w:t>
      </w:r>
      <w:r>
        <w:rPr>
          <w:rFonts w:hint="eastAsia" w:ascii="Times New Roman" w:hAnsi="Times New Roman" w:eastAsia="宋体"/>
          <w:sz w:val="20"/>
          <w:szCs w:val="20"/>
        </w:rPr>
        <w:t>carrier phase positioning</w:t>
      </w:r>
      <w:r>
        <w:rPr>
          <w:rFonts w:ascii="Times New Roman" w:hAnsi="Times New Roman" w:eastAsia="宋体"/>
          <w:sz w:val="20"/>
          <w:szCs w:val="20"/>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71" w:hRule="atLeast"/>
        </w:trPr>
        <w:tc>
          <w:tcPr>
            <w:tcW w:w="9302" w:type="dxa"/>
          </w:tcPr>
          <w:p>
            <w:pPr>
              <w:adjustRightInd w:val="0"/>
              <w:snapToGrid w:val="0"/>
              <w:spacing w:after="0" w:line="240" w:lineRule="auto"/>
              <w:rPr>
                <w:rFonts w:ascii="Times New Roman" w:hAnsi="Times New Roman"/>
                <w:bCs/>
                <w:sz w:val="20"/>
                <w:szCs w:val="20"/>
              </w:rPr>
            </w:pPr>
            <w:r>
              <w:rPr>
                <w:rFonts w:ascii="Times New Roman" w:hAnsi="Times New Roman"/>
                <w:b/>
                <w:sz w:val="20"/>
                <w:szCs w:val="20"/>
                <w:u w:val="single"/>
              </w:rPr>
              <w:t>Agreement</w:t>
            </w:r>
          </w:p>
          <w:p>
            <w:pPr>
              <w:adjustRightInd w:val="0"/>
              <w:snapToGrid w:val="0"/>
              <w:spacing w:after="0" w:line="240" w:lineRule="auto"/>
              <w:rPr>
                <w:rFonts w:ascii="Times New Roman" w:hAnsi="Times New Roman"/>
                <w:iCs/>
                <w:sz w:val="20"/>
                <w:szCs w:val="20"/>
              </w:rPr>
            </w:pPr>
            <w:r>
              <w:rPr>
                <w:rFonts w:ascii="Times New Roman" w:hAnsi="Times New Roman"/>
                <w:iCs/>
                <w:sz w:val="20"/>
                <w:szCs w:val="20"/>
              </w:rPr>
              <w:t>Introduce DL reference carrier phase (DL RSCP) and NR DL reference carrier phase difference (DL RSCPD) as DL carrier phase measurements.</w:t>
            </w:r>
          </w:p>
          <w:p>
            <w:pPr>
              <w:pStyle w:val="95"/>
              <w:numPr>
                <w:ilvl w:val="0"/>
                <w:numId w:val="3"/>
              </w:numPr>
              <w:snapToGrid w:val="0"/>
              <w:spacing w:after="0" w:line="240" w:lineRule="auto"/>
              <w:rPr>
                <w:color w:val="auto"/>
                <w:sz w:val="20"/>
                <w:highlight w:val="none"/>
              </w:rPr>
            </w:pPr>
            <w:r>
              <w:rPr>
                <w:sz w:val="20"/>
              </w:rPr>
              <w:t>Note: It is up to RAN4 to decide whether and how to define the requirements for DL RSCP and/or DL R</w:t>
            </w:r>
            <w:r>
              <w:rPr>
                <w:color w:val="auto"/>
                <w:sz w:val="20"/>
                <w:highlight w:val="none"/>
              </w:rPr>
              <w:t>SCPD. No LS needed to RAN4 for this note.</w:t>
            </w:r>
          </w:p>
          <w:p>
            <w:pPr>
              <w:pStyle w:val="95"/>
              <w:numPr>
                <w:ilvl w:val="0"/>
                <w:numId w:val="3"/>
              </w:numPr>
              <w:snapToGrid w:val="0"/>
              <w:spacing w:after="0" w:line="240" w:lineRule="auto"/>
              <w:rPr>
                <w:color w:val="auto"/>
                <w:sz w:val="20"/>
                <w:highlight w:val="none"/>
              </w:rPr>
            </w:pPr>
            <w:r>
              <w:rPr>
                <w:color w:val="auto"/>
                <w:sz w:val="20"/>
                <w:highlight w:val="none"/>
              </w:rPr>
              <w:t>DL RSCP can be reported together with UE Rx – Tx time difference measurement</w:t>
            </w:r>
          </w:p>
          <w:p>
            <w:pPr>
              <w:pStyle w:val="95"/>
              <w:numPr>
                <w:ilvl w:val="0"/>
                <w:numId w:val="3"/>
              </w:numPr>
              <w:snapToGrid w:val="0"/>
              <w:spacing w:after="0" w:line="240" w:lineRule="auto"/>
              <w:rPr>
                <w:color w:val="auto"/>
                <w:sz w:val="20"/>
                <w:highlight w:val="none"/>
              </w:rPr>
            </w:pPr>
            <w:r>
              <w:rPr>
                <w:color w:val="auto"/>
                <w:sz w:val="20"/>
                <w:highlight w:val="none"/>
              </w:rPr>
              <w:t>DL RSCPD can be reported together with RSTD measurement</w:t>
            </w:r>
          </w:p>
          <w:p>
            <w:pPr>
              <w:pStyle w:val="95"/>
              <w:numPr>
                <w:ilvl w:val="0"/>
                <w:numId w:val="3"/>
              </w:numPr>
              <w:snapToGrid w:val="0"/>
              <w:spacing w:after="0" w:line="240" w:lineRule="auto"/>
              <w:rPr>
                <w:color w:val="auto"/>
                <w:sz w:val="20"/>
                <w:highlight w:val="none"/>
              </w:rPr>
            </w:pPr>
            <w:r>
              <w:rPr>
                <w:color w:val="auto"/>
                <w:sz w:val="20"/>
                <w:highlight w:val="none"/>
              </w:rPr>
              <w:t>FFS: details on how to eliminate unknown initial Rx phase with RSCP/RSCPD reporting can be further discussed</w:t>
            </w:r>
          </w:p>
          <w:p>
            <w:pPr>
              <w:pStyle w:val="95"/>
              <w:numPr>
                <w:ilvl w:val="0"/>
                <w:numId w:val="3"/>
              </w:numPr>
              <w:snapToGrid w:val="0"/>
              <w:spacing w:after="0" w:line="240" w:lineRule="auto"/>
              <w:rPr>
                <w:color w:val="auto"/>
                <w:sz w:val="20"/>
                <w:highlight w:val="none"/>
              </w:rPr>
            </w:pPr>
            <w:r>
              <w:rPr>
                <w:color w:val="auto"/>
                <w:sz w:val="20"/>
                <w:highlight w:val="none"/>
              </w:rPr>
              <w:t>Note: Whether to support standalone DL RSCP and/or DL RSCPD reporting, or DL RSCP/DL RSCPD reporting with other new types of measurements (if agreed), can be further discussed.</w:t>
            </w:r>
          </w:p>
          <w:p>
            <w:pPr>
              <w:pStyle w:val="95"/>
              <w:snapToGrid w:val="0"/>
              <w:spacing w:after="0" w:line="240" w:lineRule="auto"/>
              <w:ind w:left="360"/>
              <w:rPr>
                <w:color w:val="auto"/>
                <w:sz w:val="20"/>
                <w:highlight w:val="none"/>
              </w:rPr>
            </w:pPr>
          </w:p>
          <w:p>
            <w:pPr>
              <w:adjustRightInd w:val="0"/>
              <w:snapToGrid w:val="0"/>
              <w:spacing w:after="0" w:line="240" w:lineRule="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adjustRightInd w:val="0"/>
              <w:snapToGrid w:val="0"/>
              <w:spacing w:after="0" w:line="240" w:lineRule="auto"/>
              <w:rPr>
                <w:rFonts w:ascii="Times New Roman" w:hAnsi="Times New Roman"/>
                <w:bCs/>
                <w:iCs/>
                <w:color w:val="auto"/>
                <w:sz w:val="20"/>
                <w:szCs w:val="20"/>
                <w:highlight w:val="none"/>
                <w:lang w:eastAsia="ja-JP"/>
              </w:rPr>
            </w:pPr>
            <w:r>
              <w:rPr>
                <w:rFonts w:ascii="Times New Roman" w:hAnsi="Times New Roman"/>
                <w:bCs/>
                <w:iCs/>
                <w:color w:val="auto"/>
                <w:sz w:val="20"/>
                <w:szCs w:val="20"/>
                <w:highlight w:val="none"/>
                <w:lang w:eastAsia="ja-JP"/>
              </w:rPr>
              <w:t>Support one of the following options for the definition of the reference point of the UE/TRP carrier phase measurements (down-selection in RAN1#113).</w:t>
            </w:r>
          </w:p>
          <w:p>
            <w:pPr>
              <w:numPr>
                <w:ilvl w:val="0"/>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 xml:space="preserve">Option 1: </w:t>
            </w:r>
          </w:p>
          <w:p>
            <w:pPr>
              <w:numPr>
                <w:ilvl w:val="1"/>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The reference point of the UE carrier phase measurements is defined the same as the reference point of RSTD for frequency range 1 and frequency range 2.</w:t>
            </w:r>
          </w:p>
          <w:p>
            <w:pPr>
              <w:numPr>
                <w:ilvl w:val="1"/>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The reference point of the TRP carrier phase measurements is defined the same as the reference point of RTOA for frequency range 1 and frequency range 2.</w:t>
            </w:r>
          </w:p>
          <w:p>
            <w:pPr>
              <w:numPr>
                <w:ilvl w:val="1"/>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Note: It is up to UE/TRP’s implementation on how to map the carrier phase to the reference point for reporting.</w:t>
            </w:r>
          </w:p>
          <w:p>
            <w:pPr>
              <w:numPr>
                <w:ilvl w:val="0"/>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 xml:space="preserve">Option 2: </w:t>
            </w:r>
          </w:p>
          <w:p>
            <w:pPr>
              <w:numPr>
                <w:ilvl w:val="1"/>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The reference point of the UE/TRP carrier phase measurements is defined as the antenna phase center of the UE/TRP Rx antenna for frequency range 1 and frequency range 2.</w:t>
            </w:r>
          </w:p>
          <w:p>
            <w:pPr>
              <w:numPr>
                <w:ilvl w:val="1"/>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UE/TRP should provide the antenna phase center offset (PCO), i.e., the relative position between the antenna phase center and the antenna connector to LMF</w:t>
            </w:r>
          </w:p>
          <w:p>
            <w:pPr>
              <w:numPr>
                <w:ilvl w:val="1"/>
                <w:numId w:val="4"/>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FFS: the more details of the PCO reporting, e.g., in LCS or GCS frame</w:t>
            </w:r>
          </w:p>
          <w:p>
            <w:pPr>
              <w:adjustRightInd w:val="0"/>
              <w:snapToGrid w:val="0"/>
              <w:spacing w:after="0" w:line="240" w:lineRule="auto"/>
              <w:rPr>
                <w:rFonts w:ascii="Times New Roman" w:hAnsi="Times New Roman"/>
                <w:bCs/>
                <w:color w:val="auto"/>
                <w:sz w:val="20"/>
                <w:szCs w:val="20"/>
                <w:highlight w:val="none"/>
              </w:rPr>
            </w:pPr>
          </w:p>
          <w:p>
            <w:pPr>
              <w:adjustRightInd w:val="0"/>
              <w:snapToGrid w:val="0"/>
              <w:spacing w:after="0" w:line="240" w:lineRule="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color w:val="auto"/>
                <w:sz w:val="20"/>
                <w:szCs w:val="20"/>
                <w:highlight w:val="none"/>
                <w:lang w:eastAsia="ja-JP"/>
              </w:rPr>
              <w:t>To enable simultaneous transmi</w:t>
            </w:r>
            <w:r>
              <w:rPr>
                <w:rFonts w:ascii="Times New Roman" w:hAnsi="Times New Roman"/>
                <w:bCs/>
                <w:iCs/>
                <w:sz w:val="20"/>
                <w:szCs w:val="20"/>
                <w:lang w:eastAsia="ja-JP"/>
              </w:rPr>
              <w:t>ssion of UL SRS for positioning by a target UE and a PRU, support the following enhancements:</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Enabling LMF to request the serving gNB of a UE to configure the transmission of the [indicated] UL SRS resources from the UE within indicated time window(s).</w:t>
            </w:r>
          </w:p>
          <w:p>
            <w:pPr>
              <w:numPr>
                <w:ilvl w:val="1"/>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FFS: the details of the time window, e.g., the start time, duration, periodicity for the time window(s), within the vicinity of a reference SRS configuration or use the existing message of Scheduled Location time</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Enabling LMF to request the serving gNB and neighboring gNBs of the UE to measure the [indicated] UL SRS resources from the UE within indicated time window(s).</w:t>
            </w:r>
          </w:p>
          <w:p>
            <w:pPr>
              <w:numPr>
                <w:ilvl w:val="1"/>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Note: this may be a different indicated time window</w:t>
            </w:r>
          </w:p>
          <w:p>
            <w:pPr>
              <w:adjustRightInd w:val="0"/>
              <w:snapToGrid w:val="0"/>
              <w:spacing w:after="0" w:line="240" w:lineRule="auto"/>
              <w:rPr>
                <w:rFonts w:ascii="Times New Roman" w:hAnsi="Times New Roman"/>
                <w:bCs/>
                <w:sz w:val="20"/>
                <w:szCs w:val="20"/>
              </w:rPr>
            </w:pPr>
          </w:p>
          <w:p>
            <w:pPr>
              <w:adjustRightInd w:val="0"/>
              <w:snapToGrid w:val="0"/>
              <w:spacing w:after="0" w:line="240" w:lineRule="auto"/>
              <w:rPr>
                <w:rFonts w:ascii="Times New Roman" w:hAnsi="Times New Roman"/>
                <w:bCs/>
                <w:sz w:val="20"/>
                <w:szCs w:val="20"/>
              </w:rPr>
            </w:pPr>
            <w:r>
              <w:rPr>
                <w:rFonts w:ascii="Times New Roman" w:hAnsi="Times New Roman"/>
                <w:b/>
                <w:sz w:val="20"/>
                <w:szCs w:val="20"/>
                <w:u w:val="single"/>
              </w:rPr>
              <w:t>Agreement</w:t>
            </w:r>
          </w:p>
          <w:p>
            <w:p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To enable simultaneous measurements on same DL PRS by a target UE and a PRU, support the following enhancements:</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Enabling LMF to request the UEs, including target UE and PRU(s), to perform measurements on [indicated]</w:t>
            </w:r>
            <w:r>
              <w:rPr>
                <w:rFonts w:ascii="Times New Roman" w:hAnsi="Times New Roman"/>
                <w:bCs/>
                <w:iCs/>
                <w:color w:val="FF0000"/>
                <w:sz w:val="20"/>
                <w:szCs w:val="20"/>
                <w:lang w:eastAsia="ja-JP"/>
              </w:rPr>
              <w:t xml:space="preserve"> </w:t>
            </w:r>
            <w:r>
              <w:rPr>
                <w:rFonts w:ascii="Times New Roman" w:hAnsi="Times New Roman"/>
                <w:bCs/>
                <w:iCs/>
                <w:sz w:val="20"/>
                <w:szCs w:val="20"/>
                <w:lang w:eastAsia="ja-JP"/>
              </w:rPr>
              <w:t>DL PRS resources occurring within indicated time window(s).</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FFS: the details of the configuration of the indicated time window(s), e.g., the start time, duration, periodicity for the time window(s), as well as the relationship with the Scheduled Location time.</w:t>
            </w:r>
          </w:p>
          <w:p>
            <w:pPr>
              <w:adjustRightInd w:val="0"/>
              <w:snapToGrid w:val="0"/>
              <w:spacing w:after="0" w:line="240" w:lineRule="auto"/>
              <w:rPr>
                <w:rFonts w:ascii="Times New Roman" w:hAnsi="Times New Roman"/>
                <w:bCs/>
                <w:sz w:val="20"/>
                <w:szCs w:val="20"/>
              </w:rPr>
            </w:pPr>
          </w:p>
          <w:p>
            <w:pPr>
              <w:adjustRightInd w:val="0"/>
              <w:snapToGrid w:val="0"/>
              <w:spacing w:after="0" w:line="240" w:lineRule="auto"/>
              <w:rPr>
                <w:rFonts w:ascii="Times New Roman" w:hAnsi="Times New Roman"/>
                <w:bCs/>
                <w:sz w:val="20"/>
                <w:szCs w:val="20"/>
              </w:rPr>
            </w:pPr>
            <w:bookmarkStart w:id="6" w:name="_Hlk133351121"/>
            <w:r>
              <w:rPr>
                <w:rFonts w:ascii="Times New Roman" w:hAnsi="Times New Roman"/>
                <w:b/>
                <w:sz w:val="20"/>
                <w:szCs w:val="20"/>
                <w:u w:val="single"/>
              </w:rPr>
              <w:t>Agreement</w:t>
            </w:r>
          </w:p>
          <w:p>
            <w:p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UE in RRC_CONNECTED state with measurement gap.</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FFS: UE in RRC_CONNECTED state without measurement gap</w:t>
            </w:r>
            <w:r>
              <w:rPr>
                <w:rFonts w:ascii="Times New Roman" w:hAnsi="Times New Roman"/>
                <w:bCs/>
                <w:sz w:val="20"/>
                <w:szCs w:val="20"/>
                <w:lang w:eastAsia="ja-JP"/>
              </w:rPr>
              <w:t> </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UE in RRC_INACTIVE state</w:t>
            </w:r>
          </w:p>
          <w:bookmarkEnd w:id="6"/>
          <w:p>
            <w:pPr>
              <w:adjustRightInd w:val="0"/>
              <w:snapToGrid w:val="0"/>
              <w:spacing w:after="0" w:line="240" w:lineRule="auto"/>
              <w:rPr>
                <w:rFonts w:ascii="Times New Roman" w:hAnsi="Times New Roman"/>
                <w:bCs/>
                <w:sz w:val="20"/>
                <w:szCs w:val="20"/>
              </w:rPr>
            </w:pPr>
          </w:p>
          <w:p>
            <w:pPr>
              <w:adjustRightInd w:val="0"/>
              <w:snapToGrid w:val="0"/>
              <w:spacing w:after="0" w:line="240" w:lineRule="auto"/>
              <w:rPr>
                <w:rFonts w:ascii="Times New Roman" w:hAnsi="Times New Roman"/>
                <w:bCs/>
                <w:sz w:val="20"/>
                <w:szCs w:val="20"/>
              </w:rPr>
            </w:pPr>
            <w:r>
              <w:rPr>
                <w:rFonts w:ascii="Times New Roman" w:hAnsi="Times New Roman"/>
                <w:b/>
                <w:sz w:val="20"/>
                <w:szCs w:val="20"/>
                <w:u w:val="single"/>
              </w:rPr>
              <w:t>Agreement</w:t>
            </w:r>
          </w:p>
          <w:p>
            <w:p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The specific RF frequency associated with a DL carrier phase measurement is defined as the center frequency of the DL PFL by default.</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Note: It is open to further discussion whether a frequency other than the center frequency of the DL PFL can also be the specific RF frequency for non-default case(s), if RAN1 agrees to introduce them.</w:t>
            </w:r>
          </w:p>
          <w:p>
            <w:pPr>
              <w:adjustRightInd w:val="0"/>
              <w:snapToGrid w:val="0"/>
              <w:spacing w:after="0" w:line="240" w:lineRule="auto"/>
              <w:rPr>
                <w:rFonts w:ascii="Times New Roman" w:hAnsi="Times New Roman"/>
                <w:bCs/>
                <w:sz w:val="20"/>
                <w:szCs w:val="20"/>
              </w:rPr>
            </w:pPr>
          </w:p>
          <w:p>
            <w:pPr>
              <w:adjustRightInd w:val="0"/>
              <w:snapToGrid w:val="0"/>
              <w:spacing w:after="0" w:line="240" w:lineRule="auto"/>
              <w:rPr>
                <w:rFonts w:ascii="Times New Roman" w:hAnsi="Times New Roman"/>
                <w:bCs/>
                <w:sz w:val="20"/>
                <w:szCs w:val="20"/>
              </w:rPr>
            </w:pPr>
            <w:r>
              <w:rPr>
                <w:rFonts w:ascii="Times New Roman" w:hAnsi="Times New Roman"/>
                <w:b/>
                <w:sz w:val="20"/>
                <w:szCs w:val="20"/>
                <w:u w:val="single"/>
              </w:rPr>
              <w:t>Agreement</w:t>
            </w:r>
          </w:p>
          <w:p>
            <w:p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iCs/>
                <w:sz w:val="20"/>
                <w:szCs w:val="20"/>
                <w:lang w:eastAsia="ja-JP"/>
              </w:rPr>
              <w:t>The specific RF frequency associated with a UL carrier phase measurement is defined, by default, as the center frequency of the</w:t>
            </w:r>
            <w:r>
              <w:rPr>
                <w:rFonts w:ascii="Times New Roman" w:hAnsi="Times New Roman"/>
                <w:bCs/>
                <w:sz w:val="20"/>
                <w:szCs w:val="20"/>
                <w:lang w:eastAsia="ja-JP"/>
              </w:rPr>
              <w:t> </w:t>
            </w:r>
            <w:r>
              <w:rPr>
                <w:rFonts w:ascii="Times New Roman" w:hAnsi="Times New Roman"/>
                <w:bCs/>
                <w:iCs/>
                <w:sz w:val="20"/>
                <w:szCs w:val="20"/>
                <w:lang w:eastAsia="ja-JP"/>
              </w:rPr>
              <w:t>transmission bandwidth of</w:t>
            </w:r>
            <w:r>
              <w:rPr>
                <w:rFonts w:ascii="Times New Roman" w:hAnsi="Times New Roman"/>
                <w:bCs/>
                <w:sz w:val="20"/>
                <w:szCs w:val="20"/>
                <w:lang w:eastAsia="ja-JP"/>
              </w:rPr>
              <w:t> </w:t>
            </w:r>
            <w:r>
              <w:rPr>
                <w:rFonts w:ascii="Times New Roman" w:hAnsi="Times New Roman"/>
                <w:bCs/>
                <w:iCs/>
                <w:sz w:val="20"/>
                <w:szCs w:val="20"/>
                <w:lang w:eastAsia="ja-JP"/>
              </w:rPr>
              <w:t>the SRS for positioning purpose.</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iCs/>
                <w:sz w:val="20"/>
                <w:szCs w:val="20"/>
                <w:lang w:eastAsia="ja-JP"/>
              </w:rPr>
              <w:t>Note: It is open to further discussion</w:t>
            </w:r>
            <w:r>
              <w:rPr>
                <w:rFonts w:ascii="Times New Roman" w:hAnsi="Times New Roman"/>
                <w:bCs/>
                <w:iCs/>
                <w:color w:val="auto"/>
                <w:sz w:val="20"/>
                <w:szCs w:val="20"/>
                <w:highlight w:val="none"/>
                <w:lang w:eastAsia="ja-JP"/>
              </w:rPr>
              <w:t xml:space="preserve"> whether a frequency other than the center frequency of the UL carrier can also be the specific RF frequency for a non-default case(s), if RAN1 agrees to introduce them.</w:t>
            </w:r>
          </w:p>
          <w:p>
            <w:pPr>
              <w:adjustRightInd w:val="0"/>
              <w:snapToGrid w:val="0"/>
              <w:spacing w:after="0" w:line="240" w:lineRule="auto"/>
              <w:rPr>
                <w:rFonts w:ascii="Times New Roman" w:hAnsi="Times New Roman"/>
                <w:bCs/>
                <w:color w:val="auto"/>
                <w:sz w:val="20"/>
                <w:szCs w:val="20"/>
                <w:highlight w:val="none"/>
              </w:rPr>
            </w:pPr>
          </w:p>
          <w:p>
            <w:pPr>
              <w:adjustRightInd w:val="0"/>
              <w:snapToGrid w:val="0"/>
              <w:spacing w:after="0" w:line="240" w:lineRule="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iCs/>
                <w:color w:val="auto"/>
                <w:sz w:val="20"/>
                <w:szCs w:val="20"/>
                <w:highlight w:val="none"/>
                <w:lang w:eastAsia="ja-JP"/>
              </w:rPr>
              <w:t>Support enabling a TRP to report UL RSCP together with RTOA and/or gNB Rx-Tx time difference measurements to LMF</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iCs/>
                <w:color w:val="auto"/>
                <w:sz w:val="20"/>
                <w:szCs w:val="20"/>
                <w:highlight w:val="none"/>
                <w:lang w:eastAsia="ja-JP"/>
              </w:rPr>
              <w:t>Note 1: The report of UL carrier phase measurement with gNB Rx – Tx time difference does not necessarily require the report of DL carrier phase measurement with UE Rx – Tx time difference.</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iCs/>
                <w:color w:val="auto"/>
                <w:sz w:val="20"/>
                <w:szCs w:val="20"/>
                <w:highlight w:val="none"/>
                <w:lang w:eastAsia="ja-JP"/>
              </w:rPr>
              <w:t>Note 2: This doesn’t preclude standalone UL carrier phase measurements reporting.</w:t>
            </w:r>
          </w:p>
          <w:p>
            <w:pPr>
              <w:adjustRightInd w:val="0"/>
              <w:snapToGrid w:val="0"/>
              <w:spacing w:after="0" w:line="240" w:lineRule="auto"/>
              <w:rPr>
                <w:rFonts w:ascii="Times New Roman" w:hAnsi="Times New Roman"/>
                <w:bCs/>
                <w:color w:val="auto"/>
                <w:sz w:val="20"/>
                <w:szCs w:val="20"/>
                <w:highlight w:val="none"/>
              </w:rPr>
            </w:pPr>
          </w:p>
          <w:p>
            <w:pPr>
              <w:adjustRightInd w:val="0"/>
              <w:snapToGrid w:val="0"/>
              <w:spacing w:after="0" w:line="240" w:lineRule="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iCs/>
                <w:color w:val="auto"/>
                <w:sz w:val="20"/>
                <w:szCs w:val="20"/>
                <w:highlight w:val="none"/>
                <w:lang w:eastAsia="ja-JP"/>
              </w:rPr>
              <w:t>Further study whether and how to support a UE/TRP to report the carrier phase measurement quality indication for corresponding the phase measurements.</w:t>
            </w:r>
            <w:r>
              <w:rPr>
                <w:rFonts w:ascii="Times New Roman" w:hAnsi="Times New Roman"/>
                <w:bCs/>
                <w:color w:val="auto"/>
                <w:sz w:val="20"/>
                <w:szCs w:val="20"/>
                <w:highlight w:val="none"/>
                <w:lang w:eastAsia="ja-JP"/>
              </w:rPr>
              <w:t> </w:t>
            </w:r>
          </w:p>
          <w:p>
            <w:pPr>
              <w:adjustRightInd w:val="0"/>
              <w:snapToGrid w:val="0"/>
              <w:spacing w:after="0" w:line="240" w:lineRule="auto"/>
              <w:rPr>
                <w:rFonts w:ascii="Times New Roman" w:hAnsi="Times New Roman"/>
                <w:bCs/>
                <w:color w:val="auto"/>
                <w:sz w:val="20"/>
                <w:szCs w:val="20"/>
                <w:highlight w:val="none"/>
              </w:rPr>
            </w:pPr>
          </w:p>
          <w:p>
            <w:pPr>
              <w:adjustRightInd w:val="0"/>
              <w:snapToGrid w:val="0"/>
              <w:spacing w:after="0" w:line="240" w:lineRule="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adjustRightInd w:val="0"/>
              <w:snapToGrid w:val="0"/>
              <w:spacing w:after="0" w:line="240" w:lineRule="auto"/>
              <w:contextualSpacing/>
              <w:rPr>
                <w:rFonts w:ascii="Times New Roman" w:hAnsi="Times New Roman" w:eastAsia="MS Mincho"/>
                <w:bCs/>
                <w:iCs/>
                <w:color w:val="auto"/>
                <w:sz w:val="20"/>
                <w:szCs w:val="20"/>
                <w:highlight w:val="none"/>
                <w:lang w:eastAsia="ja-JP"/>
              </w:rPr>
            </w:pPr>
            <w:r>
              <w:rPr>
                <w:rFonts w:ascii="Times New Roman" w:hAnsi="Times New Roman"/>
                <w:bCs/>
                <w:iCs/>
                <w:color w:val="auto"/>
                <w:sz w:val="20"/>
                <w:szCs w:val="20"/>
                <w:highlight w:val="none"/>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iCs/>
                <w:color w:val="auto"/>
                <w:sz w:val="20"/>
                <w:szCs w:val="20"/>
                <w:highlight w:val="none"/>
                <w:lang w:eastAsia="ja-JP"/>
              </w:rPr>
              <w:t>FFS: the details of the enhancements.</w:t>
            </w:r>
          </w:p>
          <w:p>
            <w:pPr>
              <w:adjustRightInd w:val="0"/>
              <w:snapToGrid w:val="0"/>
              <w:spacing w:after="0" w:line="240" w:lineRule="auto"/>
              <w:rPr>
                <w:rFonts w:ascii="Times New Roman" w:hAnsi="Times New Roman"/>
                <w:bCs/>
                <w:color w:val="auto"/>
                <w:sz w:val="20"/>
                <w:szCs w:val="20"/>
                <w:highlight w:val="none"/>
              </w:rPr>
            </w:pPr>
          </w:p>
          <w:p>
            <w:pPr>
              <w:adjustRightInd w:val="0"/>
              <w:snapToGrid w:val="0"/>
              <w:spacing w:after="0" w:line="240" w:lineRule="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adjustRightInd w:val="0"/>
              <w:snapToGrid w:val="0"/>
              <w:spacing w:after="0" w:line="240" w:lineRule="auto"/>
              <w:rPr>
                <w:rFonts w:ascii="Times New Roman" w:hAnsi="Times New Roman"/>
                <w:bCs/>
                <w:i/>
                <w:iCs/>
                <w:color w:val="auto"/>
                <w:sz w:val="20"/>
                <w:szCs w:val="20"/>
                <w:highlight w:val="none"/>
              </w:rPr>
            </w:pPr>
            <w:r>
              <w:rPr>
                <w:rFonts w:ascii="Times New Roman" w:hAnsi="Times New Roman"/>
                <w:bCs/>
                <w:iCs/>
                <w:color w:val="auto"/>
                <w:sz w:val="20"/>
                <w:szCs w:val="20"/>
                <w:highlight w:val="none"/>
                <w:lang w:eastAsia="ja-JP"/>
              </w:rPr>
              <w:t xml:space="preserve">Adopt one of the following options for a timestamp associated with a </w:t>
            </w:r>
            <w:r>
              <w:rPr>
                <w:rFonts w:ascii="Times New Roman" w:hAnsi="Times New Roman"/>
                <w:bCs/>
                <w:iCs/>
                <w:color w:val="auto"/>
                <w:sz w:val="20"/>
                <w:szCs w:val="20"/>
                <w:highlight w:val="none"/>
              </w:rPr>
              <w:t xml:space="preserve">reported </w:t>
            </w:r>
            <w:r>
              <w:rPr>
                <w:rFonts w:ascii="Times New Roman" w:hAnsi="Times New Roman"/>
                <w:bCs/>
                <w:iCs/>
                <w:color w:val="auto"/>
                <w:sz w:val="20"/>
                <w:szCs w:val="20"/>
                <w:highlight w:val="none"/>
                <w:lang w:eastAsia="ja-JP"/>
              </w:rPr>
              <w:t>RSCP/RSCPD measurement (make the decision in RAN1#113):</w:t>
            </w:r>
            <w:r>
              <w:rPr>
                <w:rFonts w:ascii="Times New Roman" w:hAnsi="Times New Roman"/>
                <w:bCs/>
                <w:i/>
                <w:iCs/>
                <w:color w:val="auto"/>
                <w:sz w:val="20"/>
                <w:szCs w:val="20"/>
                <w:highlight w:val="none"/>
              </w:rPr>
              <w:t xml:space="preserve"> </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lang w:eastAsia="ja-JP"/>
              </w:rPr>
            </w:pPr>
            <w:r>
              <w:rPr>
                <w:rFonts w:ascii="Times New Roman" w:hAnsi="Times New Roman"/>
                <w:bCs/>
                <w:color w:val="auto"/>
                <w:sz w:val="20"/>
                <w:szCs w:val="20"/>
                <w:highlight w:val="none"/>
              </w:rPr>
              <w:t>Option 1:</w:t>
            </w:r>
          </w:p>
          <w:p>
            <w:pPr>
              <w:numPr>
                <w:ilvl w:val="1"/>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iCs/>
                <w:color w:val="auto"/>
                <w:sz w:val="20"/>
                <w:szCs w:val="20"/>
                <w:highlight w:val="none"/>
              </w:rPr>
              <w:t xml:space="preserve">NR-TimeStamp, currently defined in TS 37.355, is reused as the timestamp with the granularity of a slot. </w:t>
            </w:r>
          </w:p>
          <w:p>
            <w:pPr>
              <w:numPr>
                <w:ilvl w:val="1"/>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iCs/>
                <w:color w:val="auto"/>
                <w:sz w:val="20"/>
                <w:szCs w:val="20"/>
                <w:highlight w:val="none"/>
              </w:rPr>
              <w:t>FFS: Whether to clarify in the specification the reported RSCP/RSCPD value presents the RSCP/RSCPD of a specific OFDM symbol within the slot identified by the NR-TimeStamp.</w:t>
            </w:r>
          </w:p>
          <w:p>
            <w:pPr>
              <w:numPr>
                <w:ilvl w:val="0"/>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iCs/>
                <w:color w:val="auto"/>
                <w:sz w:val="20"/>
                <w:szCs w:val="20"/>
                <w:highlight w:val="none"/>
              </w:rPr>
              <w:t>Option 2:</w:t>
            </w:r>
          </w:p>
          <w:p>
            <w:pPr>
              <w:numPr>
                <w:ilvl w:val="1"/>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color w:val="auto"/>
                <w:sz w:val="20"/>
                <w:szCs w:val="20"/>
                <w:highlight w:val="none"/>
              </w:rPr>
              <w:t>NR-TimeStamp, currently defined in TS 37.355, should be enhanced to include the OFDM symbol index in a slot, as the timestamp for RSCP/RSCPD measurements.</w:t>
            </w:r>
          </w:p>
          <w:p>
            <w:pPr>
              <w:adjustRightInd w:val="0"/>
              <w:snapToGrid w:val="0"/>
              <w:spacing w:after="0" w:line="240" w:lineRule="auto"/>
              <w:rPr>
                <w:rFonts w:ascii="Times New Roman" w:hAnsi="Times New Roman"/>
                <w:bCs/>
                <w:color w:val="auto"/>
                <w:sz w:val="20"/>
                <w:szCs w:val="20"/>
                <w:highlight w:val="none"/>
              </w:rPr>
            </w:pPr>
          </w:p>
          <w:p>
            <w:pPr>
              <w:adjustRightInd w:val="0"/>
              <w:snapToGrid w:val="0"/>
              <w:spacing w:after="0" w:line="240" w:lineRule="auto"/>
              <w:rPr>
                <w:rFonts w:ascii="Times New Roman" w:hAnsi="Times New Roman"/>
                <w:bCs/>
                <w:color w:val="auto"/>
                <w:sz w:val="20"/>
                <w:szCs w:val="20"/>
                <w:highlight w:val="none"/>
              </w:rPr>
            </w:pPr>
            <w:bookmarkStart w:id="7" w:name="FP2"/>
            <w:r>
              <w:rPr>
                <w:rFonts w:ascii="Times New Roman" w:hAnsi="Times New Roman"/>
                <w:b/>
                <w:color w:val="auto"/>
                <w:sz w:val="20"/>
                <w:szCs w:val="20"/>
                <w:highlight w:val="none"/>
                <w:u w:val="single"/>
              </w:rPr>
              <w:t>Agreement</w:t>
            </w:r>
          </w:p>
          <w:bookmarkEnd w:id="7"/>
          <w:p>
            <w:pPr>
              <w:adjustRightInd w:val="0"/>
              <w:snapToGrid w:val="0"/>
              <w:spacing w:after="0" w:line="240" w:lineRule="auto"/>
              <w:rPr>
                <w:rFonts w:ascii="Times New Roman" w:hAnsi="Times New Roman" w:eastAsia="宋体"/>
                <w:bCs/>
                <w:iCs/>
                <w:color w:val="auto"/>
                <w:sz w:val="20"/>
                <w:szCs w:val="20"/>
                <w:highlight w:val="none"/>
              </w:rPr>
            </w:pPr>
            <w:r>
              <w:rPr>
                <w:rFonts w:ascii="Times New Roman" w:hAnsi="Times New Roman"/>
                <w:bCs/>
                <w:iCs/>
                <w:color w:val="auto"/>
                <w:sz w:val="20"/>
                <w:szCs w:val="20"/>
                <w:highlight w:val="none"/>
              </w:rPr>
              <w:t>To address the impact of the phase delays on Tx/Rx RF chains, support one or more of the following options (down-selection in RAN1#113):</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color w:val="auto"/>
                <w:sz w:val="20"/>
                <w:szCs w:val="20"/>
                <w:highlight w:val="none"/>
              </w:rPr>
              <w:t>Option 1a: introduce the definition of UE/TRP Tx/Rx phase error groups (PEGs) for the Tx/Rx of DL PRS/UL SRS signals</w:t>
            </w:r>
            <w:r>
              <w:rPr>
                <w:rFonts w:ascii="Times New Roman" w:hAnsi="Times New Roman"/>
                <w:bCs/>
                <w:iCs/>
                <w:color w:val="auto"/>
                <w:sz w:val="20"/>
                <w:szCs w:val="20"/>
                <w:highlight w:val="none"/>
              </w:rPr>
              <w:t xml:space="preserve"> </w:t>
            </w:r>
          </w:p>
          <w:p>
            <w:pPr>
              <w:numPr>
                <w:ilvl w:val="1"/>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iCs/>
                <w:color w:val="auto"/>
                <w:sz w:val="20"/>
                <w:szCs w:val="20"/>
                <w:highlight w:val="none"/>
              </w:rPr>
              <w:t>Rel-17 definitions of UE/TRP Tx/Rx TEGs can be used as the starting point for defining UE/TRP Tx/Rx PEGs.</w:t>
            </w:r>
          </w:p>
          <w:p>
            <w:pPr>
              <w:numPr>
                <w:ilvl w:val="1"/>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iCs/>
                <w:color w:val="auto"/>
                <w:sz w:val="20"/>
                <w:szCs w:val="20"/>
                <w:highlight w:val="none"/>
              </w:rPr>
              <w:t>FFS: the details of \the UE/TRP Tx/Rx PEGs</w:t>
            </w:r>
          </w:p>
          <w:p>
            <w:pPr>
              <w:numPr>
                <w:ilvl w:val="0"/>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iCs/>
                <w:color w:val="auto"/>
                <w:sz w:val="20"/>
                <w:szCs w:val="20"/>
                <w:highlight w:val="none"/>
              </w:rPr>
              <w:t>Option 1b: Introduce Tx/Rx RF antenna IDs or Tx/Rx RF chain IDs to identify the individual Tx/Rx RF chains for transmitting/receiving the DL PRS/UL SRS signals.</w:t>
            </w:r>
            <w:r>
              <w:rPr>
                <w:rFonts w:ascii="Times New Roman" w:hAnsi="Times New Roman"/>
                <w:bCs/>
                <w:color w:val="auto"/>
                <w:sz w:val="20"/>
                <w:szCs w:val="20"/>
                <w:highlight w:val="none"/>
              </w:rPr>
              <w:t xml:space="preserve"> </w:t>
            </w:r>
          </w:p>
          <w:p>
            <w:pPr>
              <w:numPr>
                <w:ilvl w:val="1"/>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iCs/>
                <w:color w:val="auto"/>
                <w:sz w:val="20"/>
                <w:szCs w:val="20"/>
                <w:highlight w:val="none"/>
              </w:rPr>
              <w:t>FFS: the details of the Tx/Rx RF antenna IDs or Tx/Rx RF chain IDs</w:t>
            </w:r>
          </w:p>
          <w:p>
            <w:pPr>
              <w:numPr>
                <w:ilvl w:val="1"/>
                <w:numId w:val="5"/>
              </w:numPr>
              <w:adjustRightInd w:val="0"/>
              <w:snapToGrid w:val="0"/>
              <w:spacing w:after="0" w:line="240" w:lineRule="auto"/>
              <w:contextualSpacing/>
              <w:rPr>
                <w:rFonts w:ascii="Times New Roman" w:hAnsi="Times New Roman"/>
                <w:bCs/>
                <w:color w:val="auto"/>
                <w:sz w:val="20"/>
                <w:szCs w:val="20"/>
                <w:highlight w:val="none"/>
              </w:rPr>
            </w:pPr>
            <w:r>
              <w:rPr>
                <w:rFonts w:ascii="Times New Roman" w:hAnsi="Times New Roman"/>
                <w:bCs/>
                <w:color w:val="auto"/>
                <w:sz w:val="20"/>
                <w:szCs w:val="20"/>
                <w:highlight w:val="none"/>
              </w:rPr>
              <w:t>Note: Device transmitting PRS or positioning SRS provides Tx antenna ID or Tx Chain ID. Device receiving PRS or positioning SRS provides Rx antenna ID or Rx Chain ID</w:t>
            </w:r>
            <w:r>
              <w:rPr>
                <w:rFonts w:ascii="Times New Roman" w:hAnsi="Times New Roman"/>
                <w:bCs/>
                <w:iCs/>
                <w:color w:val="auto"/>
                <w:sz w:val="20"/>
                <w:szCs w:val="20"/>
                <w:highlight w:val="none"/>
              </w:rPr>
              <w:t>.</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color w:val="auto"/>
                <w:sz w:val="20"/>
                <w:szCs w:val="20"/>
                <w:highlight w:val="none"/>
              </w:rPr>
              <w:t>Option 1c: introduce the report of ARP ID for the Rx/Tx of DL PRS/UL SRS signals.</w:t>
            </w:r>
            <w:r>
              <w:rPr>
                <w:rFonts w:ascii="Times New Roman" w:hAnsi="Times New Roman"/>
                <w:bCs/>
                <w:iCs/>
                <w:color w:val="auto"/>
                <w:sz w:val="20"/>
                <w:szCs w:val="20"/>
                <w:highlight w:val="none"/>
              </w:rPr>
              <w:t xml:space="preserve"> </w:t>
            </w:r>
          </w:p>
          <w:p>
            <w:pPr>
              <w:numPr>
                <w:ilvl w:val="1"/>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color w:val="auto"/>
                <w:sz w:val="20"/>
                <w:szCs w:val="20"/>
                <w:highlight w:val="none"/>
              </w:rPr>
              <w:t>The transmission/reception associated with the same ARP ID is assumed from the same ARP.</w:t>
            </w:r>
          </w:p>
          <w:p>
            <w:pPr>
              <w:numPr>
                <w:ilvl w:val="1"/>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color w:val="auto"/>
                <w:sz w:val="20"/>
                <w:szCs w:val="20"/>
                <w:highlight w:val="none"/>
              </w:rPr>
              <w:t>FFS: the maximum number of ARP IDs.</w:t>
            </w:r>
          </w:p>
          <w:p>
            <w:pPr>
              <w:numPr>
                <w:ilvl w:val="0"/>
                <w:numId w:val="5"/>
              </w:numPr>
              <w:adjustRightInd w:val="0"/>
              <w:snapToGrid w:val="0"/>
              <w:spacing w:after="0" w:line="240" w:lineRule="auto"/>
              <w:contextualSpacing/>
              <w:rPr>
                <w:rFonts w:ascii="Times New Roman" w:hAnsi="Times New Roman"/>
                <w:bCs/>
                <w:iCs/>
                <w:color w:val="auto"/>
                <w:sz w:val="20"/>
                <w:szCs w:val="20"/>
                <w:highlight w:val="none"/>
              </w:rPr>
            </w:pPr>
            <w:r>
              <w:rPr>
                <w:rFonts w:ascii="Times New Roman" w:hAnsi="Times New Roman"/>
                <w:bCs/>
                <w:iCs/>
                <w:color w:val="auto"/>
                <w:sz w:val="20"/>
                <w:szCs w:val="20"/>
                <w:highlight w:val="none"/>
              </w:rPr>
              <w:t>Option 2: reuse or enhance the existing Rel-17 definitions of UE/TRP Tx/Rx TEGs with smaller margin value.</w:t>
            </w:r>
          </w:p>
          <w:p>
            <w:pPr>
              <w:numPr>
                <w:ilvl w:val="0"/>
                <w:numId w:val="5"/>
              </w:numPr>
              <w:adjustRightInd w:val="0"/>
              <w:snapToGrid w:val="0"/>
              <w:spacing w:after="0" w:line="240" w:lineRule="auto"/>
              <w:contextualSpacing/>
              <w:rPr>
                <w:rFonts w:ascii="Times New Roman" w:hAnsi="Times New Roman"/>
                <w:sz w:val="20"/>
                <w:szCs w:val="20"/>
              </w:rPr>
            </w:pPr>
            <w:r>
              <w:rPr>
                <w:rFonts w:ascii="Times New Roman" w:hAnsi="Times New Roman"/>
                <w:bCs/>
                <w:color w:val="auto"/>
                <w:sz w:val="20"/>
                <w:szCs w:val="20"/>
                <w:highlight w:val="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rFonts w:ascii="Times New Roman" w:hAnsi="Times New Roman"/>
                <w:bCs/>
                <w:iCs/>
                <w:color w:val="auto"/>
                <w:sz w:val="20"/>
                <w:szCs w:val="20"/>
                <w:highlight w:val="none"/>
              </w:rPr>
              <w:t>reuse or enhance the existing Rel-17 definitions of UE/TRP Tx/Rx TEGs with smaller margin value,</w:t>
            </w:r>
            <w:r>
              <w:rPr>
                <w:rFonts w:ascii="Times New Roman" w:hAnsi="Times New Roman"/>
                <w:bCs/>
                <w:color w:val="auto"/>
                <w:sz w:val="20"/>
                <w:szCs w:val="20"/>
                <w:highlight w:val="none"/>
              </w:rPr>
              <w:t xml:space="preserve"> and provide the definitions if RAN4 decides it is needed.</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this contribution, we provide our views on carrier phase positioning techniques from RAN1 perspective.</w:t>
      </w:r>
    </w:p>
    <w:p>
      <w:pPr>
        <w:pStyle w:val="2"/>
        <w:snapToGrid w:val="0"/>
        <w:spacing w:before="120" w:after="180" w:afterLines="50"/>
        <w:ind w:left="431" w:hanging="431"/>
        <w:jc w:val="both"/>
        <w:rPr>
          <w:lang w:val="en-US"/>
        </w:rPr>
      </w:pPr>
      <w:r>
        <w:rPr>
          <w:rFonts w:hint="eastAsia" w:ascii="Times New Roman" w:hAnsi="Times New Roman"/>
          <w:sz w:val="28"/>
          <w:lang w:val="en-US"/>
        </w:rPr>
        <w:t>Physical layer measurement and s</w:t>
      </w:r>
      <w:r>
        <w:rPr>
          <w:rFonts w:ascii="Times New Roman" w:hAnsi="Times New Roman"/>
          <w:sz w:val="28"/>
          <w:lang w:val="en-US" w:eastAsia="ko-KR"/>
        </w:rPr>
        <w:t xml:space="preserve">ignalling </w:t>
      </w:r>
      <w:r>
        <w:rPr>
          <w:rFonts w:hint="eastAsia" w:ascii="Times New Roman" w:hAnsi="Times New Roman"/>
          <w:sz w:val="28"/>
          <w:lang w:val="en-US"/>
        </w:rPr>
        <w:t>for carrier phase positioning</w:t>
      </w:r>
    </w:p>
    <w:p>
      <w:pPr>
        <w:pStyle w:val="3"/>
        <w:snapToGrid w:val="0"/>
        <w:spacing w:line="240" w:lineRule="auto"/>
        <w:rPr>
          <w:sz w:val="24"/>
          <w:szCs w:val="24"/>
        </w:rPr>
      </w:pPr>
      <w:r>
        <w:rPr>
          <w:rFonts w:hint="eastAsia"/>
          <w:sz w:val="24"/>
          <w:szCs w:val="24"/>
        </w:rPr>
        <w:t xml:space="preserve">Carrier phase measurement </w:t>
      </w:r>
      <w:r>
        <w:rPr>
          <w:rFonts w:hint="eastAsia"/>
          <w:sz w:val="24"/>
          <w:szCs w:val="24"/>
          <w:lang w:val="en-US"/>
        </w:rPr>
        <w:t>definition</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w:t>
      </w:r>
      <w:r>
        <w:rPr>
          <w:rFonts w:ascii="Times New Roman" w:hAnsi="Times New Roman"/>
          <w:iCs/>
          <w:sz w:val="20"/>
          <w:szCs w:val="20"/>
          <w:lang w:eastAsia="ja-JP"/>
        </w:rPr>
        <w:t>definition of UE/TRP carrier phase measurements</w:t>
      </w:r>
      <w:r>
        <w:rPr>
          <w:rFonts w:hint="eastAsia" w:ascii="Times New Roman" w:hAnsi="Times New Roman"/>
          <w:iCs/>
          <w:sz w:val="20"/>
          <w:szCs w:val="20"/>
        </w:rPr>
        <w:t xml:space="preserve"> </w:t>
      </w:r>
      <w:r>
        <w:rPr>
          <w:rFonts w:ascii="Times New Roman" w:hAnsi="Times New Roman"/>
          <w:iCs/>
          <w:sz w:val="20"/>
          <w:szCs w:val="20"/>
          <w:lang w:eastAsia="ja-JP"/>
        </w:rPr>
        <w:t>reference point</w:t>
      </w:r>
      <w:r>
        <w:rPr>
          <w:rFonts w:hint="eastAsia" w:ascii="Times New Roman" w:hAnsi="Times New Roman" w:eastAsia="宋体"/>
          <w:sz w:val="20"/>
          <w:szCs w:val="20"/>
        </w:rPr>
        <w:t xml:space="preserve">,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WG1#112bis-e [1]: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0" w:line="240" w:lineRule="auto"/>
              <w:rPr>
                <w:rFonts w:ascii="Times New Roman" w:hAnsi="Times New Roman"/>
                <w:iCs/>
                <w:sz w:val="20"/>
                <w:szCs w:val="20"/>
                <w:lang w:eastAsia="ja-JP"/>
              </w:rPr>
            </w:pPr>
            <w:r>
              <w:rPr>
                <w:rFonts w:ascii="Times New Roman" w:hAnsi="Times New Roman"/>
                <w:iCs/>
                <w:sz w:val="20"/>
                <w:szCs w:val="20"/>
                <w:lang w:eastAsia="ja-JP"/>
              </w:rPr>
              <w:t>Support one of the following options for the definition of the reference point of the UE/TRP carrier phase measurements (down-selection in RAN1#113).</w:t>
            </w:r>
          </w:p>
          <w:p>
            <w:pPr>
              <w:pStyle w:val="95"/>
              <w:numPr>
                <w:ilvl w:val="0"/>
                <w:numId w:val="4"/>
              </w:numPr>
              <w:snapToGrid w:val="0"/>
              <w:spacing w:after="0" w:line="240" w:lineRule="auto"/>
              <w:rPr>
                <w:bCs/>
                <w:sz w:val="20"/>
              </w:rPr>
            </w:pPr>
            <w:r>
              <w:rPr>
                <w:bCs/>
                <w:sz w:val="20"/>
              </w:rPr>
              <w:t xml:space="preserve">Option 1: </w:t>
            </w:r>
          </w:p>
          <w:p>
            <w:pPr>
              <w:pStyle w:val="95"/>
              <w:numPr>
                <w:ilvl w:val="1"/>
                <w:numId w:val="4"/>
              </w:numPr>
              <w:snapToGrid w:val="0"/>
              <w:spacing w:after="0" w:line="240" w:lineRule="auto"/>
              <w:rPr>
                <w:bCs/>
                <w:sz w:val="20"/>
              </w:rPr>
            </w:pPr>
            <w:r>
              <w:rPr>
                <w:bCs/>
                <w:sz w:val="20"/>
              </w:rPr>
              <w:t>The reference point of the UE carrier phase measurements is defined the same as the reference point of RSTD for frequency range 1 and frequency range 2.</w:t>
            </w:r>
          </w:p>
          <w:p>
            <w:pPr>
              <w:pStyle w:val="95"/>
              <w:numPr>
                <w:ilvl w:val="1"/>
                <w:numId w:val="4"/>
              </w:numPr>
              <w:snapToGrid w:val="0"/>
              <w:spacing w:after="0" w:line="240" w:lineRule="auto"/>
              <w:rPr>
                <w:bCs/>
                <w:sz w:val="20"/>
              </w:rPr>
            </w:pPr>
            <w:r>
              <w:rPr>
                <w:bCs/>
                <w:sz w:val="20"/>
              </w:rPr>
              <w:t>The reference point of the TRP carrier phase measurements is defined the same as the reference point of RTOA for frequency range 1 and frequency range 2.</w:t>
            </w:r>
          </w:p>
          <w:p>
            <w:pPr>
              <w:pStyle w:val="95"/>
              <w:numPr>
                <w:ilvl w:val="1"/>
                <w:numId w:val="4"/>
              </w:numPr>
              <w:snapToGrid w:val="0"/>
              <w:spacing w:after="0" w:line="240" w:lineRule="auto"/>
              <w:rPr>
                <w:bCs/>
                <w:sz w:val="20"/>
              </w:rPr>
            </w:pPr>
            <w:r>
              <w:rPr>
                <w:bCs/>
                <w:sz w:val="20"/>
              </w:rPr>
              <w:t>Note: It is up to UE/TRP’s implementation on how to map the carrier phase to the reference point for reporting.</w:t>
            </w:r>
          </w:p>
          <w:p>
            <w:pPr>
              <w:pStyle w:val="95"/>
              <w:numPr>
                <w:ilvl w:val="0"/>
                <w:numId w:val="4"/>
              </w:numPr>
              <w:snapToGrid w:val="0"/>
              <w:spacing w:after="0" w:line="240" w:lineRule="auto"/>
              <w:rPr>
                <w:bCs/>
                <w:sz w:val="20"/>
              </w:rPr>
            </w:pPr>
            <w:r>
              <w:rPr>
                <w:bCs/>
                <w:sz w:val="20"/>
              </w:rPr>
              <w:t xml:space="preserve">Option 2: </w:t>
            </w:r>
          </w:p>
          <w:p>
            <w:pPr>
              <w:pStyle w:val="95"/>
              <w:numPr>
                <w:ilvl w:val="1"/>
                <w:numId w:val="4"/>
              </w:numPr>
              <w:snapToGrid w:val="0"/>
              <w:spacing w:after="0" w:line="240" w:lineRule="auto"/>
              <w:rPr>
                <w:bCs/>
                <w:sz w:val="20"/>
              </w:rPr>
            </w:pPr>
            <w:r>
              <w:rPr>
                <w:bCs/>
                <w:sz w:val="20"/>
              </w:rPr>
              <w:t>The reference point of the UE/TRP carrier phase measurements is defined as the antenna phase center of the UE/TRP Rx antenna for frequency range 1 and frequency range 2.</w:t>
            </w:r>
          </w:p>
          <w:p>
            <w:pPr>
              <w:pStyle w:val="95"/>
              <w:numPr>
                <w:ilvl w:val="1"/>
                <w:numId w:val="4"/>
              </w:numPr>
              <w:snapToGrid w:val="0"/>
              <w:spacing w:after="0" w:line="240" w:lineRule="auto"/>
              <w:rPr>
                <w:bCs/>
                <w:sz w:val="20"/>
              </w:rPr>
            </w:pPr>
            <w:r>
              <w:rPr>
                <w:bCs/>
                <w:sz w:val="20"/>
              </w:rPr>
              <w:t>UE/TRP should provide the antenna phase center offset (PCO), i.e., the relative position between the antenna phase center and the antenna connector to LMF</w:t>
            </w:r>
          </w:p>
          <w:p>
            <w:pPr>
              <w:pStyle w:val="95"/>
              <w:numPr>
                <w:ilvl w:val="1"/>
                <w:numId w:val="4"/>
              </w:numPr>
              <w:snapToGrid w:val="0"/>
              <w:spacing w:after="0" w:line="240" w:lineRule="auto"/>
            </w:pPr>
            <w:r>
              <w:rPr>
                <w:bCs/>
                <w:sz w:val="20"/>
              </w:rPr>
              <w:t>FFS: the more details of the PCO reporting, e.g., in LCS or GCS frame</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the last RAN WG1#112b-e meeting, FL summarized that, </w:t>
      </w:r>
      <w:r>
        <w:rPr>
          <w:rFonts w:hint="eastAsia" w:ascii="Times New Roman" w:hAnsi="Times New Roman" w:eastAsia="宋体"/>
          <w:i/>
          <w:iCs/>
          <w:sz w:val="20"/>
          <w:szCs w:val="20"/>
        </w:rPr>
        <w:t>in general, t</w:t>
      </w:r>
      <w:r>
        <w:rPr>
          <w:rFonts w:hint="eastAsia" w:ascii="Times New Roman" w:hAnsi="Times New Roman" w:eastAsia="宋体"/>
          <w:i/>
          <w:iCs/>
          <w:sz w:val="20"/>
          <w:szCs w:val="20"/>
          <w:lang w:val="en-CA"/>
        </w:rPr>
        <w:t>he carrier phases are measured by referring to the antenna phase centre (APC), which is the apparent source of radiation. The APC position may not coincide with the geometric centre of the antenna, or the antenna connector</w:t>
      </w:r>
      <w:r>
        <w:rPr>
          <w:rFonts w:hint="eastAsia" w:ascii="Times New Roman" w:hAnsi="Times New Roman" w:eastAsia="宋体"/>
          <w:sz w:val="20"/>
          <w:szCs w:val="20"/>
        </w:rPr>
        <w:t xml:space="preserve">. Keeping this in mind, the carrier phase obtained from DL PRS is referenced to the APC. </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If option 1 (reuse the definition of Rel-17) is adopted, through the previous analysis, UE needs to map the obtained carrier phase from the APC to the antenna connector. And the position of the antenna phase centre is not necessarily the geometric centre of the antenna, instead, it depends on the direction of the radio signal coming in. Under this option, </w:t>
      </w:r>
      <w:r>
        <w:rPr>
          <w:rFonts w:hint="eastAsia" w:ascii="Times New Roman" w:hAnsi="Times New Roman" w:eastAsia="宋体"/>
          <w:sz w:val="20"/>
          <w:szCs w:val="20"/>
          <w:lang w:val="en-US" w:eastAsia="zh-CN"/>
        </w:rPr>
        <w:t xml:space="preserve">as mentioned by FL, </w:t>
      </w:r>
      <w:r>
        <w:rPr>
          <w:rFonts w:hint="eastAsia" w:ascii="Times New Roman" w:hAnsi="Times New Roman" w:eastAsia="宋体"/>
          <w:sz w:val="20"/>
          <w:szCs w:val="20"/>
        </w:rPr>
        <w:t xml:space="preserve">UE has to derive and compensate the delta phase with the help of the relative position between APC and antenna connection and also the direction information of the DL PRS signals from the TRP. If option 2 is adopted, UE should report the measured phase and the relative position between APC and the antenna connector. </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summary, both option 1 and option 2 require UE/TRP to measure/estimate the relative relationship between the APC and antenna connector, and option 1 additionally requires the UE/TRP to measure the direction of the radio signal coming in, but this is up to UE/TRP</w:t>
      </w:r>
      <w:r>
        <w:rPr>
          <w:rFonts w:ascii="Times New Roman" w:hAnsi="Times New Roman" w:eastAsia="宋体"/>
          <w:sz w:val="20"/>
          <w:szCs w:val="20"/>
        </w:rPr>
        <w:t>’</w:t>
      </w:r>
      <w:r>
        <w:rPr>
          <w:rFonts w:hint="eastAsia" w:ascii="Times New Roman" w:hAnsi="Times New Roman" w:eastAsia="宋体"/>
          <w:sz w:val="20"/>
          <w:szCs w:val="20"/>
        </w:rPr>
        <w:t>s implementation. From our perspective, if option 1 is adopted as the reference point definition for carrier phase measurements, carrier phase positioning has</w:t>
      </w:r>
      <w:r>
        <w:rPr>
          <w:rFonts w:ascii="Times New Roman" w:hAnsi="Times New Roman" w:eastAsia="宋体"/>
          <w:sz w:val="20"/>
          <w:szCs w:val="20"/>
        </w:rPr>
        <w:t> better compatibility</w:t>
      </w:r>
      <w:r>
        <w:rPr>
          <w:rFonts w:hint="eastAsia" w:ascii="Times New Roman" w:hAnsi="Times New Roman" w:eastAsia="宋体"/>
          <w:sz w:val="20"/>
          <w:szCs w:val="20"/>
        </w:rPr>
        <w:t xml:space="preserve"> with other legacy positioning methods, and there</w:t>
      </w:r>
      <w:r>
        <w:rPr>
          <w:rFonts w:ascii="Times New Roman" w:hAnsi="Times New Roman" w:eastAsia="宋体"/>
          <w:sz w:val="20"/>
          <w:szCs w:val="20"/>
        </w:rPr>
        <w:t>’</w:t>
      </w:r>
      <w:r>
        <w:rPr>
          <w:rFonts w:hint="eastAsia" w:ascii="Times New Roman" w:hAnsi="Times New Roman" w:eastAsia="宋体"/>
          <w:sz w:val="20"/>
          <w:szCs w:val="20"/>
        </w:rPr>
        <w:t>s no extra signalling required for UE/TRP. Hence, we have the following proposal:</w:t>
      </w:r>
    </w:p>
    <w:p>
      <w:pPr>
        <w:adjustRightInd w:val="0"/>
        <w:snapToGrid w:val="0"/>
        <w:spacing w:after="0" w:line="240" w:lineRule="auto"/>
        <w:jc w:val="both"/>
        <w:rPr>
          <w:rFonts w:ascii="Times New Roman" w:hAnsi="Times New Roman"/>
          <w:b/>
          <w:bCs/>
          <w:i/>
          <w:iCs/>
          <w:sz w:val="20"/>
          <w:szCs w:val="20"/>
        </w:rPr>
      </w:pPr>
      <w:bookmarkStart w:id="8" w:name="_Ref7001"/>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1</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ascii="Times New Roman" w:hAnsi="Times New Roman"/>
          <w:b/>
          <w:bCs/>
          <w:i/>
          <w:iCs/>
          <w:sz w:val="20"/>
          <w:szCs w:val="20"/>
          <w:lang w:eastAsia="ja-JP"/>
        </w:rPr>
        <w:t xml:space="preserve">Support the following definition </w:t>
      </w:r>
      <w:r>
        <w:rPr>
          <w:rFonts w:ascii="Times New Roman" w:hAnsi="Times New Roman"/>
          <w:b/>
          <w:bCs/>
          <w:i/>
          <w:iCs/>
          <w:sz w:val="20"/>
          <w:szCs w:val="20"/>
        </w:rPr>
        <w:t>for</w:t>
      </w:r>
      <w:r>
        <w:rPr>
          <w:rFonts w:ascii="Times New Roman" w:hAnsi="Times New Roman"/>
          <w:b/>
          <w:bCs/>
          <w:i/>
          <w:iCs/>
          <w:sz w:val="20"/>
          <w:szCs w:val="20"/>
          <w:lang w:eastAsia="ja-JP"/>
        </w:rPr>
        <w:t xml:space="preserve"> reference point of the UE/TRP carrier phase measurements</w:t>
      </w:r>
      <w:r>
        <w:rPr>
          <w:rFonts w:hint="eastAsia" w:ascii="Times New Roman" w:hAnsi="Times New Roman"/>
          <w:b/>
          <w:bCs/>
          <w:i/>
          <w:iCs/>
          <w:sz w:val="20"/>
          <w:szCs w:val="20"/>
        </w:rPr>
        <w:t>:</w:t>
      </w:r>
      <w:bookmarkEnd w:id="8"/>
    </w:p>
    <w:p>
      <w:pPr>
        <w:pStyle w:val="95"/>
        <w:numPr>
          <w:ilvl w:val="0"/>
          <w:numId w:val="4"/>
        </w:numPr>
        <w:snapToGrid w:val="0"/>
        <w:spacing w:after="0" w:line="240" w:lineRule="auto"/>
        <w:jc w:val="both"/>
        <w:rPr>
          <w:b/>
          <w:bCs/>
          <w:i/>
          <w:iCs/>
          <w:sz w:val="20"/>
        </w:rPr>
      </w:pPr>
      <w:r>
        <w:rPr>
          <w:b/>
          <w:bCs/>
          <w:i/>
          <w:iCs/>
          <w:sz w:val="20"/>
        </w:rPr>
        <w:t xml:space="preserve">Option 1: </w:t>
      </w:r>
    </w:p>
    <w:p>
      <w:pPr>
        <w:pStyle w:val="95"/>
        <w:numPr>
          <w:ilvl w:val="1"/>
          <w:numId w:val="4"/>
        </w:numPr>
        <w:snapToGrid w:val="0"/>
        <w:spacing w:after="0" w:line="240" w:lineRule="auto"/>
        <w:jc w:val="both"/>
        <w:rPr>
          <w:b/>
          <w:bCs/>
          <w:i/>
          <w:iCs/>
          <w:sz w:val="20"/>
        </w:rPr>
      </w:pPr>
      <w:r>
        <w:rPr>
          <w:b/>
          <w:bCs/>
          <w:i/>
          <w:iCs/>
          <w:sz w:val="20"/>
        </w:rPr>
        <w:t>The reference point of the UE carrier phase measurements is defined the same as the reference point of RSTD for frequency range 1 and frequency range 2.</w:t>
      </w:r>
    </w:p>
    <w:p>
      <w:pPr>
        <w:pStyle w:val="95"/>
        <w:numPr>
          <w:ilvl w:val="1"/>
          <w:numId w:val="4"/>
        </w:numPr>
        <w:snapToGrid w:val="0"/>
        <w:spacing w:after="0" w:line="240" w:lineRule="auto"/>
        <w:jc w:val="both"/>
        <w:rPr>
          <w:b/>
          <w:bCs/>
          <w:i/>
          <w:iCs/>
          <w:sz w:val="20"/>
        </w:rPr>
      </w:pPr>
      <w:r>
        <w:rPr>
          <w:b/>
          <w:bCs/>
          <w:i/>
          <w:iCs/>
          <w:sz w:val="20"/>
        </w:rPr>
        <w:t>The reference point of the TRP carrier phase measurements is defined the same as the reference point of RTOA for frequency range 1 and frequency range 2.</w:t>
      </w:r>
    </w:p>
    <w:p>
      <w:pPr>
        <w:pStyle w:val="95"/>
        <w:numPr>
          <w:ilvl w:val="1"/>
          <w:numId w:val="4"/>
        </w:numPr>
        <w:snapToGrid w:val="0"/>
        <w:spacing w:after="0" w:line="240" w:lineRule="auto"/>
        <w:jc w:val="both"/>
        <w:rPr>
          <w:b/>
          <w:bCs/>
          <w:i/>
          <w:iCs/>
          <w:sz w:val="20"/>
        </w:rPr>
      </w:pPr>
      <w:r>
        <w:rPr>
          <w:b/>
          <w:bCs/>
          <w:i/>
          <w:iCs/>
          <w:sz w:val="20"/>
        </w:rPr>
        <w:t>Note: It is up to UE/TRP’s implementation on how to map the carrier phase to the reference point for reporting.</w:t>
      </w:r>
    </w:p>
    <w:p>
      <w:pPr>
        <w:pStyle w:val="3"/>
        <w:snapToGrid w:val="0"/>
        <w:spacing w:line="240" w:lineRule="auto"/>
        <w:rPr>
          <w:sz w:val="24"/>
          <w:szCs w:val="24"/>
        </w:rPr>
      </w:pPr>
      <w:r>
        <w:rPr>
          <w:rFonts w:hint="eastAsia"/>
          <w:sz w:val="24"/>
          <w:szCs w:val="24"/>
        </w:rPr>
        <w:t xml:space="preserve">Carrier phase measurement </w:t>
      </w:r>
      <w:r>
        <w:rPr>
          <w:rFonts w:hint="eastAsia"/>
          <w:sz w:val="24"/>
          <w:szCs w:val="24"/>
          <w:lang w:val="en-US"/>
        </w:rPr>
        <w:t xml:space="preserve">configuration and/or </w:t>
      </w:r>
      <w:r>
        <w:rPr>
          <w:rFonts w:hint="eastAsia"/>
          <w:sz w:val="24"/>
          <w:szCs w:val="24"/>
        </w:rPr>
        <w:t>report</w:t>
      </w:r>
    </w:p>
    <w:p>
      <w:pPr>
        <w:pStyle w:val="4"/>
        <w:numPr>
          <w:ilvl w:val="1"/>
          <w:numId w:val="0"/>
        </w:numPr>
        <w:ind w:left="220" w:leftChars="100"/>
        <w:rPr>
          <w:lang w:val="en-US"/>
        </w:rPr>
      </w:pPr>
      <w:r>
        <w:rPr>
          <w:rFonts w:hint="eastAsia"/>
          <w:lang w:val="en-US"/>
        </w:rPr>
        <w:t xml:space="preserve">2.2.1 Integer ambiguity </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w:t>
      </w:r>
      <w:r>
        <w:rPr>
          <w:rFonts w:hint="eastAsia" w:ascii="Times New Roman" w:hAnsi="Times New Roman"/>
          <w:sz w:val="20"/>
          <w:szCs w:val="20"/>
        </w:rPr>
        <w:t xml:space="preserve">approved </w:t>
      </w:r>
      <w:r>
        <w:rPr>
          <w:rFonts w:ascii="Times New Roman" w:hAnsi="Times New Roman"/>
          <w:sz w:val="20"/>
          <w:szCs w:val="20"/>
        </w:rPr>
        <w:t>in</w:t>
      </w:r>
      <w:r>
        <w:rPr>
          <w:rFonts w:hint="eastAsia" w:ascii="Times New Roman" w:hAnsi="Times New Roman"/>
          <w:sz w:val="20"/>
          <w:szCs w:val="20"/>
        </w:rPr>
        <w:t xml:space="preserve"> the</w:t>
      </w:r>
      <w:r>
        <w:rPr>
          <w:rFonts w:ascii="Times New Roman" w:hAnsi="Times New Roman"/>
          <w:sz w:val="20"/>
          <w:szCs w:val="20"/>
        </w:rPr>
        <w:t xml:space="preserve"> previous </w:t>
      </w:r>
      <w:r>
        <w:rPr>
          <w:rFonts w:hint="eastAsia" w:ascii="Times New Roman" w:hAnsi="Times New Roman" w:eastAsia="宋体"/>
          <w:sz w:val="20"/>
          <w:szCs w:val="20"/>
        </w:rPr>
        <w:t>3GPP RAN Meeting #98-e</w:t>
      </w:r>
      <w:r>
        <w:rPr>
          <w:rFonts w:hint="eastAsia" w:ascii="Times New Roman" w:hAnsi="Times New Roman"/>
          <w:sz w:val="20"/>
          <w:szCs w:val="20"/>
        </w:rPr>
        <w:t xml:space="preserve"> [3]</w:t>
      </w:r>
      <w:r>
        <w:rPr>
          <w:rFonts w:ascii="Times New Roman" w:hAnsi="Times New Roman"/>
          <w:sz w:val="20"/>
          <w:szCs w:val="20"/>
        </w:rPr>
        <w:t xml:space="preserve">, carrier phase positioning </w:t>
      </w:r>
      <w:r>
        <w:rPr>
          <w:rFonts w:hint="eastAsia" w:ascii="Times New Roman" w:hAnsi="Times New Roman"/>
          <w:sz w:val="20"/>
          <w:szCs w:val="20"/>
        </w:rPr>
        <w:t xml:space="preserve">is supported in Rel-18 WID, for UE-assisted positioning, </w:t>
      </w:r>
      <w:r>
        <w:rPr>
          <w:rFonts w:hint="eastAsia" w:ascii="Times New Roman" w:hAnsi="Times New Roman" w:eastAsia="宋体"/>
          <w:sz w:val="20"/>
          <w:szCs w:val="20"/>
        </w:rPr>
        <w:t>e</w:t>
      </w:r>
      <w:r>
        <w:rPr>
          <w:rFonts w:ascii="Times New Roman" w:hAnsi="Times New Roman" w:eastAsia="MS Mincho"/>
          <w:sz w:val="20"/>
          <w:szCs w:val="20"/>
          <w:lang w:eastAsia="ko-KR"/>
        </w:rPr>
        <w:t>xisting DL PRS</w:t>
      </w:r>
      <w:r>
        <w:rPr>
          <w:rFonts w:hint="eastAsia" w:ascii="Times New Roman" w:hAnsi="Times New Roman" w:eastAsia="宋体"/>
          <w:sz w:val="20"/>
          <w:szCs w:val="20"/>
        </w:rPr>
        <w:t xml:space="preserve"> is </w:t>
      </w:r>
      <w:r>
        <w:rPr>
          <w:rFonts w:ascii="Times New Roman" w:hAnsi="Times New Roman" w:eastAsia="MS Mincho"/>
          <w:sz w:val="20"/>
          <w:szCs w:val="20"/>
          <w:lang w:eastAsia="ko-KR"/>
        </w:rPr>
        <w:t>used for carrier phase measurements.</w:t>
      </w:r>
      <w:r>
        <w:rPr>
          <w:rFonts w:hint="eastAsia" w:ascii="Times New Roman" w:hAnsi="Times New Roman" w:eastAsia="宋体"/>
          <w:sz w:val="20"/>
          <w:szCs w:val="20"/>
        </w:rPr>
        <w:t xml:space="preserve"> For carrier phase positioning, an integer part N and a </w:t>
      </w:r>
      <w:r>
        <w:rPr>
          <w:rFonts w:ascii="Times New Roman" w:hAnsi="Times New Roman"/>
          <w:sz w:val="20"/>
          <w:szCs w:val="20"/>
        </w:rPr>
        <w:t>fractional part</w:t>
      </w:r>
      <w:r>
        <w:rPr>
          <w:rFonts w:hint="eastAsia" w:ascii="Times New Roman" w:hAnsi="Times New Roman"/>
          <w:sz w:val="20"/>
          <w:szCs w:val="20"/>
        </w:rPr>
        <w:t xml:space="preserve"> </w:t>
      </w:r>
      <w:r>
        <w:rPr>
          <w:rFonts w:ascii="Times New Roman" w:hAnsi="Times New Roman" w:eastAsia="宋体"/>
          <w:kern w:val="2"/>
          <w:position w:val="-4"/>
          <w:sz w:val="20"/>
          <w:szCs w:val="20"/>
        </w:rPr>
        <w:t>Φ</w:t>
      </w:r>
      <w:r>
        <w:rPr>
          <w:rFonts w:hint="eastAsia" w:ascii="Times New Roman" w:hAnsi="Times New Roman"/>
          <w:sz w:val="20"/>
          <w:szCs w:val="20"/>
        </w:rPr>
        <w:t xml:space="preserve"> </w:t>
      </w:r>
      <w:r>
        <w:rPr>
          <w:rFonts w:ascii="Times New Roman" w:hAnsi="Times New Roman"/>
          <w:sz w:val="20"/>
          <w:szCs w:val="20"/>
        </w:rPr>
        <w:t>of</w:t>
      </w:r>
      <w:r>
        <w:rPr>
          <w:rFonts w:hint="eastAsia" w:ascii="Times New Roman" w:hAnsi="Times New Roman"/>
          <w:sz w:val="20"/>
          <w:szCs w:val="20"/>
        </w:rPr>
        <w:t xml:space="preserve"> the</w:t>
      </w:r>
      <w:r>
        <w:rPr>
          <w:rFonts w:ascii="Times New Roman" w:hAnsi="Times New Roman"/>
          <w:sz w:val="20"/>
          <w:szCs w:val="20"/>
        </w:rPr>
        <w:t xml:space="preserve"> carrier phase</w:t>
      </w:r>
      <w:r>
        <w:rPr>
          <w:rFonts w:hint="eastAsia" w:ascii="Times New Roman" w:hAnsi="Times New Roman"/>
          <w:sz w:val="20"/>
          <w:szCs w:val="20"/>
        </w:rPr>
        <w:t xml:space="preserve"> are required to calculate the target UE</w:t>
      </w:r>
      <w:r>
        <w:rPr>
          <w:rFonts w:ascii="Times New Roman" w:hAnsi="Times New Roman"/>
          <w:sz w:val="20"/>
          <w:szCs w:val="20"/>
        </w:rPr>
        <w:t>’</w:t>
      </w:r>
      <w:r>
        <w:rPr>
          <w:rFonts w:hint="eastAsia" w:ascii="Times New Roman" w:hAnsi="Times New Roman"/>
          <w:sz w:val="20"/>
          <w:szCs w:val="20"/>
        </w:rPr>
        <w:t xml:space="preserve">s location. Wherein, the integer part search range </w:t>
      </w:r>
      <w:r>
        <w:rPr>
          <w:rFonts w:ascii="Times New Roman" w:hAnsi="Times New Roman"/>
          <w:sz w:val="20"/>
          <w:szCs w:val="20"/>
        </w:rPr>
        <w:t>can be deduced from the timing</w:t>
      </w:r>
      <w:r>
        <w:rPr>
          <w:rFonts w:hint="eastAsia" w:ascii="Times New Roman" w:hAnsi="Times New Roman"/>
          <w:sz w:val="20"/>
          <w:szCs w:val="20"/>
        </w:rPr>
        <w:t>-</w:t>
      </w:r>
      <w:r>
        <w:rPr>
          <w:rFonts w:ascii="Times New Roman" w:hAnsi="Times New Roman"/>
          <w:sz w:val="20"/>
          <w:szCs w:val="20"/>
        </w:rPr>
        <w:t>based positioning technology</w:t>
      </w:r>
      <w:r>
        <w:rPr>
          <w:rFonts w:hint="eastAsia" w:ascii="Times New Roman" w:hAnsi="Times New Roman"/>
          <w:sz w:val="20"/>
          <w:szCs w:val="20"/>
        </w:rPr>
        <w:t xml:space="preserve"> if carrier phase positioning is not a standalone positioning method, i.e., carrier phase positioning is executed together with other legacy positioning technologies </w:t>
      </w:r>
      <w:r>
        <w:rPr>
          <w:rFonts w:ascii="Times New Roman" w:hAnsi="Times New Roman"/>
          <w:sz w:val="20"/>
          <w:szCs w:val="20"/>
        </w:rPr>
        <w:t>(such as TDOA)</w:t>
      </w:r>
      <w:r>
        <w:rPr>
          <w:rFonts w:hint="eastAsia" w:ascii="Times New Roman" w:hAnsi="Times New Roman"/>
          <w:sz w:val="20"/>
          <w:szCs w:val="20"/>
        </w:rPr>
        <w:t xml:space="preserve">, and the </w:t>
      </w:r>
      <w:r>
        <w:rPr>
          <w:rFonts w:ascii="Times New Roman" w:hAnsi="Times New Roman"/>
          <w:sz w:val="20"/>
          <w:szCs w:val="20"/>
        </w:rPr>
        <w:t>fractional part</w:t>
      </w:r>
      <w:r>
        <w:rPr>
          <w:rFonts w:hint="eastAsia" w:ascii="Times New Roman" w:hAnsi="Times New Roman"/>
          <w:sz w:val="20"/>
          <w:szCs w:val="20"/>
        </w:rPr>
        <w:t xml:space="preserve"> </w:t>
      </w:r>
      <w:r>
        <w:rPr>
          <w:rFonts w:ascii="Times New Roman" w:hAnsi="Times New Roman" w:eastAsia="宋体"/>
          <w:kern w:val="2"/>
          <w:position w:val="-4"/>
          <w:sz w:val="20"/>
          <w:szCs w:val="20"/>
        </w:rPr>
        <w:t>Φ</w:t>
      </w:r>
      <w:r>
        <w:rPr>
          <w:rFonts w:hint="eastAsia" w:ascii="Times New Roman" w:hAnsi="Times New Roman" w:eastAsia="宋体"/>
          <w:kern w:val="2"/>
          <w:position w:val="-4"/>
          <w:sz w:val="20"/>
          <w:szCs w:val="20"/>
        </w:rPr>
        <w:t xml:space="preserve"> </w:t>
      </w:r>
      <w:r>
        <w:rPr>
          <w:rFonts w:hint="eastAsia" w:ascii="Times New Roman" w:hAnsi="Times New Roman"/>
          <w:sz w:val="20"/>
          <w:szCs w:val="20"/>
        </w:rPr>
        <w:t>is the c</w:t>
      </w:r>
      <w:r>
        <w:rPr>
          <w:rFonts w:ascii="Times New Roman" w:hAnsi="Times New Roman"/>
          <w:sz w:val="20"/>
          <w:szCs w:val="20"/>
        </w:rPr>
        <w:t>arrier phase</w:t>
      </w:r>
      <w:r>
        <w:rPr>
          <w:rFonts w:hint="eastAsia" w:ascii="Times New Roman" w:hAnsi="Times New Roman"/>
          <w:sz w:val="20"/>
          <w:szCs w:val="20"/>
        </w:rPr>
        <w:t xml:space="preserve"> measured by the receiver</w:t>
      </w:r>
      <w:r>
        <w:rPr>
          <w:rFonts w:ascii="Times New Roman" w:hAnsi="Times New Roman"/>
          <w:sz w:val="20"/>
          <w:szCs w:val="20"/>
        </w:rPr>
        <w:t xml:space="preserve"> (e.g., </w:t>
      </w:r>
      <w:r>
        <w:rPr>
          <w:rFonts w:hint="eastAsia" w:ascii="Times New Roman" w:hAnsi="Times New Roman"/>
          <w:sz w:val="20"/>
          <w:szCs w:val="20"/>
        </w:rPr>
        <w:t>in</w:t>
      </w:r>
      <w:r>
        <w:rPr>
          <w:rFonts w:ascii="Times New Roman" w:hAnsi="Times New Roman"/>
          <w:sz w:val="20"/>
          <w:szCs w:val="20"/>
        </w:rPr>
        <w:t xml:space="preserve"> the time domain or frequency domain based on the existing PRS</w:t>
      </w:r>
      <w:r>
        <w:rPr>
          <w:rFonts w:hint="eastAsia" w:ascii="Times New Roman" w:hAnsi="Times New Roman"/>
          <w:sz w:val="20"/>
          <w:szCs w:val="20"/>
        </w:rPr>
        <w:t>/SRS</w:t>
      </w:r>
      <w:r>
        <w:rPr>
          <w:rFonts w:ascii="Times New Roman" w:hAnsi="Times New Roman"/>
          <w:sz w:val="20"/>
          <w:szCs w:val="20"/>
        </w:rPr>
        <w:t>)</w:t>
      </w:r>
      <w:r>
        <w:rPr>
          <w:rFonts w:hint="eastAsia" w:ascii="Times New Roman" w:hAnsi="Times New Roman"/>
          <w:sz w:val="20"/>
          <w:szCs w:val="20"/>
        </w:rPr>
        <w:t xml:space="preserve">. </w:t>
      </w:r>
    </w:p>
    <w:p>
      <w:pPr>
        <w:pStyle w:val="95"/>
        <w:snapToGrid w:val="0"/>
        <w:spacing w:before="180" w:beforeLines="50" w:afterLines="50" w:line="240" w:lineRule="auto"/>
        <w:ind w:left="0"/>
        <w:jc w:val="both"/>
        <w:rPr>
          <w:sz w:val="20"/>
        </w:rPr>
      </w:pPr>
      <w:r>
        <w:rPr>
          <w:sz w:val="20"/>
          <w:lang w:eastAsia="zh-CN"/>
        </w:rPr>
        <w:t xml:space="preserve">In our </w:t>
      </w:r>
      <w:r>
        <w:rPr>
          <w:rFonts w:hint="eastAsia"/>
          <w:sz w:val="20"/>
          <w:lang w:eastAsia="zh-CN"/>
        </w:rPr>
        <w:t xml:space="preserve">previous </w:t>
      </w:r>
      <w:r>
        <w:rPr>
          <w:sz w:val="20"/>
          <w:lang w:eastAsia="zh-CN"/>
        </w:rPr>
        <w:t>contributions</w:t>
      </w:r>
      <w:r>
        <w:rPr>
          <w:rFonts w:hint="eastAsia"/>
          <w:sz w:val="20"/>
          <w:lang w:eastAsia="zh-CN"/>
        </w:rPr>
        <w:t xml:space="preserve"> [4,5]</w:t>
      </w:r>
      <w:r>
        <w:rPr>
          <w:sz w:val="20"/>
          <w:lang w:eastAsia="zh-CN"/>
        </w:rPr>
        <w:t>, it</w:t>
      </w:r>
      <w:r>
        <w:rPr>
          <w:rFonts w:hint="eastAsia"/>
          <w:sz w:val="20"/>
          <w:lang w:eastAsia="zh-CN"/>
        </w:rPr>
        <w:t xml:space="preserve"> is proved that t</w:t>
      </w:r>
      <w:r>
        <w:rPr>
          <w:sz w:val="20"/>
        </w:rPr>
        <w:t>he integer search</w:t>
      </w:r>
      <w:r>
        <w:rPr>
          <w:rFonts w:hint="eastAsia"/>
          <w:sz w:val="20"/>
          <w:lang w:eastAsia="zh-CN"/>
        </w:rPr>
        <w:t xml:space="preserve"> procedure</w:t>
      </w:r>
      <w:r>
        <w:rPr>
          <w:sz w:val="20"/>
        </w:rPr>
        <w:t xml:space="preserve"> is time</w:t>
      </w:r>
      <w:r>
        <w:rPr>
          <w:rFonts w:hint="eastAsia"/>
          <w:sz w:val="20"/>
          <w:lang w:eastAsia="zh-CN"/>
        </w:rPr>
        <w:t>-</w:t>
      </w:r>
      <w:r>
        <w:rPr>
          <w:sz w:val="20"/>
        </w:rPr>
        <w:t>consuming</w:t>
      </w:r>
      <w:r>
        <w:rPr>
          <w:rFonts w:hint="eastAsia"/>
          <w:sz w:val="20"/>
          <w:lang w:eastAsia="zh-CN"/>
        </w:rPr>
        <w:t xml:space="preserve"> especially when the integer ambiguity exceeds a certain level, which heavily affects the positioning performance</w:t>
      </w:r>
      <w:r>
        <w:rPr>
          <w:sz w:val="20"/>
        </w:rPr>
        <w:t xml:space="preserve">. </w:t>
      </w:r>
      <w:r>
        <w:rPr>
          <w:rFonts w:hint="eastAsia"/>
          <w:sz w:val="20"/>
          <w:lang w:eastAsia="zh-CN"/>
        </w:rPr>
        <w:t>Taking this into consideration, i</w:t>
      </w:r>
      <w:r>
        <w:rPr>
          <w:sz w:val="20"/>
        </w:rPr>
        <w:t xml:space="preserve">t </w:t>
      </w:r>
      <w:r>
        <w:rPr>
          <w:rFonts w:hint="eastAsia"/>
          <w:sz w:val="20"/>
          <w:lang w:eastAsia="zh-CN"/>
        </w:rPr>
        <w:t>would be beneficial if</w:t>
      </w:r>
      <w:r>
        <w:rPr>
          <w:sz w:val="20"/>
        </w:rPr>
        <w:t xml:space="preserve"> </w:t>
      </w:r>
      <w:r>
        <w:rPr>
          <w:rFonts w:hint="eastAsia"/>
          <w:sz w:val="20"/>
          <w:lang w:eastAsia="zh-CN"/>
        </w:rPr>
        <w:t xml:space="preserve">the </w:t>
      </w:r>
      <w:r>
        <w:rPr>
          <w:sz w:val="20"/>
        </w:rPr>
        <w:t>network suggests an initial</w:t>
      </w:r>
      <w:r>
        <w:rPr>
          <w:rFonts w:hint="eastAsia"/>
          <w:sz w:val="20"/>
          <w:lang w:eastAsia="zh-CN"/>
        </w:rPr>
        <w:t xml:space="preserve"> </w:t>
      </w:r>
      <w:r>
        <w:rPr>
          <w:sz w:val="20"/>
        </w:rPr>
        <w:t xml:space="preserve">location to determine the scope of integer N. </w:t>
      </w:r>
      <w:r>
        <w:rPr>
          <w:rFonts w:hint="eastAsia"/>
          <w:sz w:val="20"/>
          <w:lang w:eastAsia="zh-CN"/>
        </w:rPr>
        <w:t>For UE-based or NG-RAN node-assisted positioning, if LMF can get UE</w:t>
      </w:r>
      <w:r>
        <w:rPr>
          <w:sz w:val="20"/>
          <w:lang w:eastAsia="zh-CN"/>
        </w:rPr>
        <w:t>’</w:t>
      </w:r>
      <w:r>
        <w:rPr>
          <w:rFonts w:hint="eastAsia"/>
          <w:sz w:val="20"/>
          <w:lang w:eastAsia="zh-CN"/>
        </w:rPr>
        <w:t xml:space="preserve">s rough location, </w:t>
      </w:r>
      <w:r>
        <w:rPr>
          <w:rFonts w:hint="eastAsia"/>
          <w:sz w:val="20"/>
          <w:lang w:val="en-US" w:eastAsia="zh-CN"/>
        </w:rPr>
        <w:t xml:space="preserve">e.g. based on the previous measurement results or RAT-independent methods, </w:t>
      </w:r>
      <w:r>
        <w:rPr>
          <w:rFonts w:hint="eastAsia"/>
          <w:sz w:val="20"/>
          <w:lang w:eastAsia="zh-CN"/>
        </w:rPr>
        <w:t>a proper range of N values can be informed to UE, further improving the positioning performance.</w:t>
      </w:r>
      <w:r>
        <w:rPr>
          <w:sz w:val="20"/>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integer ambiguity problem,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 [2] (there was no agreement in 3GPP TSG RAN WG1#112bis-e, further discussion is required: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bCs/>
                <w:sz w:val="20"/>
                <w:szCs w:val="20"/>
              </w:rPr>
              <w:t>To support NR carrier phase positioning, further consider the following</w:t>
            </w:r>
            <w:r>
              <w:rPr>
                <w:rFonts w:ascii="Times New Roman" w:hAnsi="Times New Roman"/>
                <w:sz w:val="20"/>
                <w:szCs w:val="20"/>
              </w:rPr>
              <w:t xml:space="preserve"> options:</w:t>
            </w:r>
          </w:p>
          <w:p>
            <w:pPr>
              <w:pStyle w:val="85"/>
              <w:numPr>
                <w:ilvl w:val="0"/>
                <w:numId w:val="6"/>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1: Support a UE/TRP to report the carrier phase measurements of more than one frequency within a PFL/carrier to LMF</w:t>
            </w:r>
          </w:p>
          <w:p>
            <w:pPr>
              <w:pStyle w:val="80"/>
              <w:numPr>
                <w:ilvl w:val="1"/>
                <w:numId w:val="6"/>
              </w:numPr>
              <w:adjustRightInd w:val="0"/>
              <w:snapToGrid w:val="0"/>
              <w:spacing w:afterLines="50"/>
            </w:pPr>
            <w:r>
              <w:t>NOTE: the frequency can be the carrier frequency or the frequency of a subcarrier</w:t>
            </w:r>
          </w:p>
          <w:p>
            <w:pPr>
              <w:pStyle w:val="80"/>
              <w:numPr>
                <w:ilvl w:val="1"/>
                <w:numId w:val="6"/>
              </w:numPr>
              <w:adjustRightInd w:val="0"/>
              <w:snapToGrid w:val="0"/>
              <w:spacing w:afterLines="50"/>
            </w:pPr>
            <w:r>
              <w:t>FFS: the details of reporting, e.g., the maximum number of reported frequencies within a PFL/ carrier</w:t>
            </w:r>
          </w:p>
          <w:p>
            <w:pPr>
              <w:pStyle w:val="85"/>
              <w:numPr>
                <w:ilvl w:val="0"/>
                <w:numId w:val="6"/>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2: Introduce and report a</w:t>
            </w:r>
            <w:r>
              <w:rPr>
                <w:rFonts w:ascii="Times New Roman" w:hAnsi="Times New Roman" w:eastAsia="Batang"/>
                <w:sz w:val="20"/>
                <w:szCs w:val="20"/>
              </w:rPr>
              <w:t xml:space="preserve"> new type of UE/TRP </w:t>
            </w:r>
            <w:r>
              <w:rPr>
                <w:rFonts w:ascii="Times New Roman" w:hAnsi="Times New Roman"/>
                <w:sz w:val="20"/>
                <w:szCs w:val="20"/>
              </w:rPr>
              <w:t>measurement</w:t>
            </w:r>
            <w:r>
              <w:rPr>
                <w:rFonts w:ascii="Times New Roman" w:hAnsi="Times New Roman" w:eastAsia="Batang"/>
                <w:sz w:val="20"/>
                <w:szCs w:val="20"/>
              </w:rPr>
              <w:t xml:space="preserve"> based on carrier phase differentials across multiple subcarriers within a PFL/carrier</w:t>
            </w:r>
          </w:p>
          <w:p>
            <w:pPr>
              <w:pStyle w:val="80"/>
              <w:numPr>
                <w:ilvl w:val="1"/>
                <w:numId w:val="6"/>
              </w:numPr>
              <w:adjustRightInd w:val="0"/>
              <w:snapToGrid w:val="0"/>
              <w:spacing w:afterLines="50"/>
            </w:pPr>
            <w:r>
              <w:t xml:space="preserve">NOTE: </w:t>
            </w:r>
            <w:r>
              <w:rPr>
                <w:rFonts w:eastAsia="Batang"/>
              </w:rPr>
              <w:t>carrier</w:t>
            </w:r>
            <w:r>
              <w:t xml:space="preserve"> phase differentials across multiple subcarriers within a carrier can be related to time of arrival</w:t>
            </w:r>
          </w:p>
          <w:p>
            <w:pPr>
              <w:pStyle w:val="85"/>
              <w:numPr>
                <w:ilvl w:val="0"/>
                <w:numId w:val="6"/>
              </w:numPr>
              <w:adjustRightInd w:val="0"/>
              <w:snapToGrid w:val="0"/>
              <w:spacing w:after="180" w:afterLines="50" w:line="240" w:lineRule="auto"/>
              <w:rPr>
                <w:rFonts w:ascii="Times New Roman" w:hAnsi="Times New Roman" w:eastAsia="Batang"/>
                <w:bCs/>
                <w:sz w:val="20"/>
                <w:szCs w:val="20"/>
              </w:rPr>
            </w:pPr>
            <w:r>
              <w:rPr>
                <w:rFonts w:ascii="Times New Roman" w:hAnsi="Times New Roman"/>
                <w:sz w:val="20"/>
                <w:szCs w:val="20"/>
              </w:rPr>
              <w:t xml:space="preserve">Option 3: Support a UE/TRP to optionally report an estimated </w:t>
            </w:r>
            <w:r>
              <w:rPr>
                <w:rFonts w:ascii="Times New Roman" w:hAnsi="Times New Roman" w:eastAsia="Batang"/>
                <w:bCs/>
                <w:sz w:val="20"/>
                <w:szCs w:val="20"/>
              </w:rPr>
              <w:t>integer ambiguity and/or search range of the integer ambiguity to LMF</w:t>
            </w:r>
            <w:r>
              <w:rPr>
                <w:rFonts w:hint="eastAsia" w:ascii="Times New Roman" w:hAnsi="Times New Roman" w:eastAsia="宋体"/>
                <w:bCs/>
                <w:sz w:val="20"/>
                <w:szCs w:val="20"/>
              </w:rPr>
              <w:t>.</w:t>
            </w:r>
          </w:p>
          <w:p>
            <w:pPr>
              <w:pStyle w:val="95"/>
              <w:numPr>
                <w:ilvl w:val="0"/>
                <w:numId w:val="6"/>
              </w:numPr>
              <w:snapToGrid w:val="0"/>
              <w:spacing w:afterLines="50" w:line="240" w:lineRule="auto"/>
            </w:pPr>
            <w:r>
              <w:rPr>
                <w:sz w:val="20"/>
              </w:rPr>
              <w:t>Option 4: Support LMF to provide the expected integer ambiguity range at least for UE-based NR CPP in the positioning assistance data.</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option 3 and option 4, we believe that option 4 is more feasible. There is no strong demand for UE/TRP to report the estimated integer ambiguity in LMF-based NR carrier phase positioning, because LMF usually has more location information or measurement results than UE/TRP. LMF holds all the measurement results that UE/TRP reported, not only from the target UE, and LMF can estimate/calculate a more reasonable integer ambiguity for the target UE.</w:t>
      </w:r>
    </w:p>
    <w:p>
      <w:pPr>
        <w:pStyle w:val="95"/>
        <w:snapToGrid w:val="0"/>
        <w:spacing w:before="180" w:beforeLines="50" w:afterLines="50" w:line="240" w:lineRule="auto"/>
        <w:ind w:left="0"/>
        <w:jc w:val="both"/>
        <w:rPr>
          <w:sz w:val="20"/>
          <w:lang w:eastAsia="zh-CN"/>
        </w:rPr>
      </w:pPr>
      <w:r>
        <w:rPr>
          <w:rFonts w:hint="eastAsia"/>
          <w:sz w:val="20"/>
          <w:lang w:eastAsia="zh-CN"/>
        </w:rPr>
        <w:t>Therefore, option 4 is our first preference. If there are other benefits proposed concerning UE/TRP reporting the estimated integer ambiguity, option 3 can also be supported if there are explicit benefits concerning UE/TRP reporting the estimated integer ambiguity. Hence, we have the following proposal.</w:t>
      </w:r>
    </w:p>
    <w:p>
      <w:pPr>
        <w:pStyle w:val="13"/>
        <w:adjustRightInd w:val="0"/>
        <w:snapToGrid w:val="0"/>
        <w:spacing w:before="180" w:beforeLines="50" w:after="180" w:afterLines="50"/>
        <w:jc w:val="both"/>
        <w:rPr>
          <w:i/>
          <w:iCs/>
        </w:rPr>
      </w:pPr>
      <w:bookmarkStart w:id="9" w:name="_Ref12793"/>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lang w:val="en-US" w:eastAsia="zh-CN"/>
        </w:rPr>
        <w:t xml:space="preserve">For signalling concerning the integer ambiguity, at least support LMF providing the range </w:t>
      </w:r>
      <w:r>
        <w:rPr>
          <w:i/>
          <w:iCs/>
        </w:rPr>
        <w:t xml:space="preserve">of integer </w:t>
      </w:r>
      <w:r>
        <w:rPr>
          <w:rFonts w:hint="eastAsia"/>
          <w:i/>
          <w:iCs/>
          <w:lang w:val="en-US" w:eastAsia="zh-CN"/>
        </w:rPr>
        <w:t xml:space="preserve">to UE </w:t>
      </w:r>
      <w:r>
        <w:rPr>
          <w:i/>
          <w:iCs/>
        </w:rPr>
        <w:t>for UE</w:t>
      </w:r>
      <w:r>
        <w:rPr>
          <w:rFonts w:hint="eastAsia"/>
          <w:i/>
          <w:iCs/>
          <w:lang w:val="en-US" w:eastAsia="zh-CN"/>
        </w:rPr>
        <w:t>-</w:t>
      </w:r>
      <w:r>
        <w:rPr>
          <w:i/>
          <w:iCs/>
        </w:rPr>
        <w:t xml:space="preserve">based </w:t>
      </w:r>
      <w:r>
        <w:rPr>
          <w:rFonts w:hint="eastAsia"/>
          <w:i/>
          <w:iCs/>
          <w:lang w:val="en-US" w:eastAsia="zh-CN"/>
        </w:rPr>
        <w:t xml:space="preserve">NR </w:t>
      </w:r>
      <w:r>
        <w:rPr>
          <w:i/>
          <w:iCs/>
        </w:rPr>
        <w:t>carrier phase positioning.</w:t>
      </w:r>
      <w:bookmarkEnd w:id="9"/>
    </w:p>
    <w:p>
      <w:pPr>
        <w:pStyle w:val="4"/>
        <w:numPr>
          <w:ilvl w:val="1"/>
          <w:numId w:val="0"/>
        </w:numPr>
        <w:ind w:left="220" w:leftChars="100"/>
        <w:rPr>
          <w:lang w:val="en-US"/>
        </w:rPr>
      </w:pPr>
      <w:r>
        <w:rPr>
          <w:rFonts w:hint="eastAsia"/>
          <w:lang w:val="en-US"/>
        </w:rPr>
        <w:t>2.2.2 Carrier phase report</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indication of </w:t>
      </w:r>
      <w:r>
        <w:rPr>
          <w:rFonts w:hint="eastAsia" w:ascii="Times New Roman" w:hAnsi="Times New Roman" w:eastAsia="宋体"/>
          <w:iCs/>
          <w:sz w:val="20"/>
          <w:szCs w:val="20"/>
        </w:rPr>
        <w:t>carrier phase measurement quality</w:t>
      </w:r>
      <w:r>
        <w:rPr>
          <w:rFonts w:hint="eastAsia" w:ascii="Times New Roman" w:hAnsi="Times New Roman" w:eastAsia="宋体"/>
          <w:sz w:val="20"/>
          <w:szCs w:val="20"/>
        </w:rPr>
        <w:t xml:space="preserve">,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WG1#112bis-e [1]: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5"/>
              <w:snapToGrid w:val="0"/>
              <w:spacing w:after="0" w:line="240" w:lineRule="auto"/>
              <w:ind w:left="0"/>
            </w:pPr>
            <w:r>
              <w:rPr>
                <w:iCs/>
                <w:sz w:val="20"/>
              </w:rPr>
              <w:t>Further study whether and how to support a UE/TRP to report the carrier phase measurement quality indication for corresponding the phase measurements.</w:t>
            </w:r>
            <w:r>
              <w:rPr>
                <w:sz w:val="20"/>
              </w:rPr>
              <w:t> </w:t>
            </w:r>
          </w:p>
        </w:tc>
      </w:tr>
    </w:tbl>
    <w:p>
      <w:pPr>
        <w:adjustRightInd w:val="0"/>
        <w:snapToGrid w:val="0"/>
        <w:spacing w:after="0" w:line="240" w:lineRule="auto"/>
        <w:rPr>
          <w:rFonts w:ascii="Times New Roman" w:hAnsi="Times New Roman"/>
          <w:b/>
          <w:sz w:val="20"/>
          <w:szCs w:val="20"/>
          <w:u w:val="single"/>
        </w:rPr>
      </w:pPr>
    </w:p>
    <w:p>
      <w:pPr>
        <w:pStyle w:val="55"/>
        <w:adjustRightInd w:val="0"/>
        <w:snapToGrid w:val="0"/>
        <w:ind w:firstLine="0" w:firstLineChars="0"/>
        <w:rPr>
          <w:kern w:val="0"/>
          <w:sz w:val="20"/>
          <w:szCs w:val="20"/>
        </w:rPr>
      </w:pPr>
      <w:r>
        <w:rPr>
          <w:kern w:val="0"/>
          <w:sz w:val="20"/>
          <w:szCs w:val="20"/>
        </w:rPr>
        <w:t xml:space="preserve">Similar </w:t>
      </w:r>
      <w:r>
        <w:rPr>
          <w:rFonts w:hint="eastAsia"/>
          <w:kern w:val="0"/>
          <w:sz w:val="20"/>
          <w:szCs w:val="20"/>
        </w:rPr>
        <w:t xml:space="preserve">to </w:t>
      </w:r>
      <w:r>
        <w:rPr>
          <w:kern w:val="0"/>
          <w:sz w:val="20"/>
          <w:szCs w:val="20"/>
        </w:rPr>
        <w:t>other positioning measurement</w:t>
      </w:r>
      <w:r>
        <w:rPr>
          <w:rFonts w:hint="eastAsia"/>
          <w:kern w:val="0"/>
          <w:sz w:val="20"/>
          <w:szCs w:val="20"/>
        </w:rPr>
        <w:t>s</w:t>
      </w:r>
      <w:r>
        <w:rPr>
          <w:kern w:val="0"/>
          <w:sz w:val="20"/>
          <w:szCs w:val="20"/>
        </w:rPr>
        <w:t xml:space="preserve">, it is important for the receiver to provide the measurement quality indication to the LMF. For NR timing measurements, </w:t>
      </w:r>
      <w:r>
        <w:rPr>
          <w:i/>
          <w:iCs/>
          <w:kern w:val="0"/>
          <w:sz w:val="20"/>
          <w:szCs w:val="20"/>
        </w:rPr>
        <w:t>NR-TimingQuality</w:t>
      </w:r>
      <w:r>
        <w:rPr>
          <w:kern w:val="0"/>
          <w:sz w:val="20"/>
          <w:szCs w:val="20"/>
        </w:rPr>
        <w:t xml:space="preserve"> is defined in TS 37.355 to </w:t>
      </w:r>
      <w:r>
        <w:rPr>
          <w:rFonts w:hint="eastAsia"/>
          <w:kern w:val="0"/>
          <w:sz w:val="20"/>
          <w:szCs w:val="20"/>
        </w:rPr>
        <w:t xml:space="preserve">indicate </w:t>
      </w:r>
      <w:r>
        <w:rPr>
          <w:kern w:val="0"/>
          <w:sz w:val="20"/>
          <w:szCs w:val="20"/>
        </w:rPr>
        <w:t xml:space="preserve">the </w:t>
      </w:r>
      <w:r>
        <w:rPr>
          <w:rFonts w:hint="eastAsia"/>
          <w:kern w:val="0"/>
          <w:sz w:val="20"/>
          <w:szCs w:val="20"/>
        </w:rPr>
        <w:t xml:space="preserve">measurement </w:t>
      </w:r>
      <w:r>
        <w:rPr>
          <w:kern w:val="0"/>
          <w:sz w:val="20"/>
          <w:szCs w:val="20"/>
        </w:rPr>
        <w:t>quality of a timing value (e.g., of a TOA measurement).</w:t>
      </w:r>
      <w:r>
        <w:rPr>
          <w:rFonts w:hint="eastAsia"/>
          <w:kern w:val="0"/>
          <w:sz w:val="20"/>
          <w:szCs w:val="20"/>
        </w:rPr>
        <w:t xml:space="preserve"> The IE in the </w:t>
      </w:r>
      <w:r>
        <w:rPr>
          <w:i/>
          <w:iCs/>
          <w:kern w:val="0"/>
          <w:sz w:val="20"/>
          <w:szCs w:val="20"/>
        </w:rPr>
        <w:t>NR-TimingQuality</w:t>
      </w:r>
      <w:r>
        <w:rPr>
          <w:kern w:val="0"/>
          <w:sz w:val="20"/>
          <w:szCs w:val="20"/>
        </w:rPr>
        <w:t xml:space="preserve"> </w:t>
      </w:r>
      <w:r>
        <w:rPr>
          <w:rFonts w:hint="eastAsia"/>
          <w:kern w:val="0"/>
          <w:sz w:val="20"/>
          <w:szCs w:val="20"/>
        </w:rPr>
        <w:t xml:space="preserve">field </w:t>
      </w:r>
      <w:r>
        <w:rPr>
          <w:kern w:val="0"/>
          <w:sz w:val="20"/>
          <w:szCs w:val="20"/>
        </w:rPr>
        <w:t xml:space="preserve">includes </w:t>
      </w:r>
      <w:r>
        <w:rPr>
          <w:i/>
          <w:iCs/>
          <w:kern w:val="0"/>
          <w:sz w:val="20"/>
          <w:szCs w:val="20"/>
        </w:rPr>
        <w:t>timingQualityValue</w:t>
      </w:r>
      <w:r>
        <w:rPr>
          <w:kern w:val="0"/>
          <w:sz w:val="20"/>
          <w:szCs w:val="20"/>
        </w:rPr>
        <w:t xml:space="preserve"> for an estimate of </w:t>
      </w:r>
      <w:r>
        <w:rPr>
          <w:rFonts w:hint="eastAsia"/>
          <w:kern w:val="0"/>
          <w:sz w:val="20"/>
          <w:szCs w:val="20"/>
        </w:rPr>
        <w:t xml:space="preserve">the </w:t>
      </w:r>
      <w:r>
        <w:rPr>
          <w:kern w:val="0"/>
          <w:sz w:val="20"/>
          <w:szCs w:val="20"/>
        </w:rPr>
        <w:t xml:space="preserve">uncertainty of the timing value and </w:t>
      </w:r>
      <w:r>
        <w:rPr>
          <w:i/>
          <w:iCs/>
          <w:kern w:val="0"/>
          <w:sz w:val="20"/>
          <w:szCs w:val="20"/>
        </w:rPr>
        <w:t>timingQualityResolution</w:t>
      </w:r>
      <w:r>
        <w:rPr>
          <w:kern w:val="0"/>
          <w:sz w:val="20"/>
          <w:szCs w:val="20"/>
        </w:rPr>
        <w:t xml:space="preserve"> for the resolution used in the </w:t>
      </w:r>
      <w:r>
        <w:rPr>
          <w:i/>
          <w:iCs/>
          <w:kern w:val="0"/>
          <w:sz w:val="20"/>
          <w:szCs w:val="20"/>
        </w:rPr>
        <w:t>timingQualityValue</w:t>
      </w:r>
      <w:r>
        <w:rPr>
          <w:kern w:val="0"/>
          <w:sz w:val="20"/>
          <w:szCs w:val="20"/>
        </w:rPr>
        <w:t xml:space="preserve"> field. </w:t>
      </w:r>
      <w:r>
        <w:rPr>
          <w:rFonts w:hint="eastAsia"/>
          <w:kern w:val="0"/>
          <w:sz w:val="20"/>
          <w:szCs w:val="20"/>
        </w:rPr>
        <w:t xml:space="preserve">And </w:t>
      </w:r>
      <w:r>
        <w:rPr>
          <w:kern w:val="0"/>
          <w:sz w:val="20"/>
          <w:szCs w:val="20"/>
        </w:rPr>
        <w:t>GNSS measurement</w:t>
      </w:r>
      <w:r>
        <w:rPr>
          <w:rFonts w:hint="eastAsia"/>
          <w:kern w:val="0"/>
          <w:sz w:val="20"/>
          <w:szCs w:val="20"/>
        </w:rPr>
        <w:t xml:space="preserve"> also includes several IEs that</w:t>
      </w:r>
      <w:r>
        <w:rPr>
          <w:kern w:val="0"/>
          <w:sz w:val="20"/>
          <w:szCs w:val="20"/>
        </w:rPr>
        <w:t xml:space="preserve"> are related to measurement quality</w:t>
      </w:r>
      <w:r>
        <w:rPr>
          <w:rFonts w:hint="eastAsia"/>
          <w:kern w:val="0"/>
          <w:sz w:val="20"/>
          <w:szCs w:val="20"/>
        </w:rPr>
        <w:t xml:space="preserve">. Therefore, a quality indicator for carrier phase measurement is also required for carrier phase measurement. </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general, there might be multi-PRS transmitted between the same TRP and </w:t>
      </w:r>
      <w:r>
        <w:rPr>
          <w:rFonts w:hint="eastAsia" w:ascii="Times New Roman" w:hAnsi="Times New Roman"/>
          <w:sz w:val="20"/>
          <w:szCs w:val="20"/>
        </w:rPr>
        <w:t>UE</w:t>
      </w:r>
      <w:r>
        <w:rPr>
          <w:rFonts w:ascii="Times New Roman" w:hAnsi="Times New Roman"/>
          <w:sz w:val="20"/>
          <w:szCs w:val="20"/>
        </w:rPr>
        <w:t xml:space="preserve"> pair with </w:t>
      </w:r>
      <w:r>
        <w:rPr>
          <w:rFonts w:hint="eastAsia" w:ascii="Times New Roman" w:hAnsi="Times New Roman"/>
          <w:sz w:val="20"/>
          <w:szCs w:val="20"/>
        </w:rPr>
        <w:t xml:space="preserve">the same or </w:t>
      </w:r>
      <w:r>
        <w:rPr>
          <w:rFonts w:ascii="Times New Roman" w:hAnsi="Times New Roman"/>
          <w:sz w:val="20"/>
          <w:szCs w:val="20"/>
        </w:rPr>
        <w:t xml:space="preserve">different </w:t>
      </w:r>
      <w:r>
        <w:rPr>
          <w:rFonts w:hint="eastAsia" w:ascii="Times New Roman" w:hAnsi="Times New Roman"/>
          <w:sz w:val="20"/>
          <w:szCs w:val="20"/>
        </w:rPr>
        <w:t>PFL/</w:t>
      </w:r>
      <w:r>
        <w:rPr>
          <w:rFonts w:ascii="Times New Roman" w:hAnsi="Times New Roman"/>
          <w:sz w:val="20"/>
          <w:szCs w:val="20"/>
        </w:rPr>
        <w:t>carriers in a positioning process</w:t>
      </w:r>
      <w:r>
        <w:rPr>
          <w:rFonts w:hint="eastAsia" w:ascii="Times New Roman" w:hAnsi="Times New Roman"/>
          <w:sz w:val="20"/>
          <w:szCs w:val="20"/>
        </w:rPr>
        <w:t>, and t</w:t>
      </w:r>
      <w:r>
        <w:rPr>
          <w:rFonts w:ascii="Times New Roman" w:hAnsi="Times New Roman"/>
          <w:sz w:val="20"/>
          <w:szCs w:val="20"/>
        </w:rPr>
        <w:t xml:space="preserve">he </w:t>
      </w:r>
      <w:r>
        <w:rPr>
          <w:rFonts w:hint="eastAsia" w:ascii="Times New Roman" w:hAnsi="Times New Roman"/>
          <w:sz w:val="20"/>
          <w:szCs w:val="20"/>
        </w:rPr>
        <w:t xml:space="preserve">measured </w:t>
      </w:r>
      <w:r>
        <w:rPr>
          <w:rFonts w:ascii="Times New Roman" w:hAnsi="Times New Roman"/>
          <w:sz w:val="20"/>
          <w:szCs w:val="20"/>
        </w:rPr>
        <w:t>carrier phase</w:t>
      </w:r>
      <w:r>
        <w:rPr>
          <w:rFonts w:hint="eastAsia" w:ascii="Times New Roman" w:hAnsi="Times New Roman"/>
          <w:sz w:val="20"/>
          <w:szCs w:val="20"/>
        </w:rPr>
        <w:t>s of these different (sub-)carriers</w:t>
      </w:r>
      <w:r>
        <w:rPr>
          <w:rFonts w:ascii="Times New Roman" w:hAnsi="Times New Roman"/>
          <w:sz w:val="20"/>
          <w:szCs w:val="20"/>
        </w:rPr>
        <w:t xml:space="preserve"> might be different</w:t>
      </w:r>
      <w:r>
        <w:rPr>
          <w:rFonts w:hint="eastAsia" w:ascii="Times New Roman" w:hAnsi="Times New Roman"/>
          <w:sz w:val="20"/>
          <w:szCs w:val="20"/>
        </w:rPr>
        <w:t xml:space="preserve">. The number of reported PRS carrier phase measurements, physical channel environment and PRS propagation multi-path could affect the accuracy of carrier phase evaluation. Taking these factors into consideration, UE can report the uncertainty of phase measurement and further provides the corresponding phase measurement quality or phase measurement confidence, which is similar to the existing timing measurement quality or angle measurement quality. </w:t>
      </w:r>
      <w:r>
        <w:rPr>
          <w:rFonts w:ascii="Times New Roman" w:hAnsi="Times New Roman"/>
          <w:sz w:val="20"/>
          <w:szCs w:val="20"/>
        </w:rPr>
        <w:t xml:space="preserve">Hence, we have the following </w:t>
      </w:r>
      <w:r>
        <w:rPr>
          <w:rFonts w:hint="eastAsia" w:ascii="Times New Roman" w:hAnsi="Times New Roman"/>
          <w:sz w:val="20"/>
          <w:szCs w:val="20"/>
        </w:rPr>
        <w:t>proposal:</w:t>
      </w:r>
    </w:p>
    <w:p>
      <w:pPr>
        <w:pStyle w:val="13"/>
        <w:snapToGrid w:val="0"/>
        <w:spacing w:before="180" w:beforeLines="50" w:after="180" w:afterLines="50"/>
        <w:jc w:val="both"/>
        <w:rPr>
          <w:i/>
          <w:iCs/>
        </w:rPr>
      </w:pPr>
      <w:bookmarkStart w:id="10" w:name="_Ref18399"/>
      <w:r>
        <w:rPr>
          <w:i/>
        </w:rPr>
        <w:t xml:space="preserve">Proposal </w:t>
      </w:r>
      <w:r>
        <w:rPr>
          <w:i/>
        </w:rPr>
        <w:fldChar w:fldCharType="begin"/>
      </w:r>
      <w:r>
        <w:rPr>
          <w:i/>
        </w:rPr>
        <w:instrText xml:space="preserve"> SEQ Proposal \* ARABIC </w:instrText>
      </w:r>
      <w:r>
        <w:rPr>
          <w:i/>
        </w:rPr>
        <w:fldChar w:fldCharType="separate"/>
      </w:r>
      <w:r>
        <w:rPr>
          <w:i/>
        </w:rPr>
        <w:t>3</w:t>
      </w:r>
      <w:r>
        <w:rPr>
          <w:i/>
        </w:rPr>
        <w:fldChar w:fldCharType="end"/>
      </w:r>
      <w:r>
        <w:rPr>
          <w:rFonts w:hint="eastAsia"/>
          <w:i/>
        </w:rPr>
        <w:t>:</w:t>
      </w:r>
      <w:r>
        <w:rPr>
          <w:i/>
        </w:rPr>
        <w:t xml:space="preserve"> </w:t>
      </w:r>
      <w:r>
        <w:rPr>
          <w:rFonts w:hint="eastAsia"/>
          <w:i/>
          <w:iCs/>
          <w:lang w:val="en-US" w:eastAsia="zh-CN"/>
        </w:rPr>
        <w:t>Support UE/TRP reporting the carrier phase measurement quality together with the phase measurement result</w:t>
      </w:r>
      <w:r>
        <w:rPr>
          <w:rFonts w:hint="eastAsia"/>
          <w:i/>
          <w:iCs/>
        </w:rPr>
        <w:t>.</w:t>
      </w:r>
      <w:bookmarkEnd w:id="10"/>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timestamp of </w:t>
      </w:r>
      <w:r>
        <w:rPr>
          <w:rFonts w:ascii="Times New Roman" w:hAnsi="Times New Roman"/>
          <w:bCs/>
          <w:iCs/>
          <w:sz w:val="20"/>
          <w:szCs w:val="20"/>
          <w:lang w:eastAsia="ja-JP"/>
        </w:rPr>
        <w:t>RSCP/RSCPD measurement</w:t>
      </w:r>
      <w:r>
        <w:rPr>
          <w:rFonts w:hint="eastAsia" w:ascii="Times New Roman" w:hAnsi="Times New Roman" w:eastAsia="宋体"/>
          <w:sz w:val="20"/>
          <w:szCs w:val="20"/>
        </w:rPr>
        <w:t xml:space="preserve">,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WG1#112bis-e [1]: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Cs/>
                <w:sz w:val="20"/>
                <w:szCs w:val="20"/>
                <w:highlight w:val="green"/>
              </w:rPr>
            </w:pPr>
            <w:r>
              <w:rPr>
                <w:rFonts w:ascii="Times New Roman" w:hAnsi="Times New Roman"/>
                <w:b/>
                <w:sz w:val="20"/>
                <w:szCs w:val="20"/>
                <w:u w:val="single"/>
              </w:rPr>
              <w:t>Agreement</w:t>
            </w:r>
          </w:p>
          <w:p>
            <w:pPr>
              <w:adjustRightInd w:val="0"/>
              <w:snapToGrid w:val="0"/>
              <w:spacing w:after="0" w:line="240" w:lineRule="auto"/>
              <w:rPr>
                <w:rFonts w:ascii="Times New Roman" w:hAnsi="Times New Roman"/>
                <w:bCs/>
                <w:i/>
                <w:iCs/>
                <w:sz w:val="20"/>
                <w:szCs w:val="20"/>
              </w:rPr>
            </w:pPr>
            <w:r>
              <w:rPr>
                <w:rFonts w:ascii="Times New Roman" w:hAnsi="Times New Roman"/>
                <w:bCs/>
                <w:iCs/>
                <w:sz w:val="20"/>
                <w:szCs w:val="20"/>
                <w:lang w:eastAsia="ja-JP"/>
              </w:rPr>
              <w:t xml:space="preserve">Adopt one of the following options for a timestamp associated with a </w:t>
            </w:r>
            <w:r>
              <w:rPr>
                <w:rFonts w:ascii="Times New Roman" w:hAnsi="Times New Roman"/>
                <w:bCs/>
                <w:iCs/>
                <w:sz w:val="20"/>
                <w:szCs w:val="20"/>
              </w:rPr>
              <w:t xml:space="preserve">reported </w:t>
            </w:r>
            <w:r>
              <w:rPr>
                <w:rFonts w:ascii="Times New Roman" w:hAnsi="Times New Roman"/>
                <w:bCs/>
                <w:iCs/>
                <w:sz w:val="20"/>
                <w:szCs w:val="20"/>
                <w:lang w:eastAsia="ja-JP"/>
              </w:rPr>
              <w:t>RSCP/RSCPD measurement (make the decision in RAN1#113):</w:t>
            </w:r>
            <w:r>
              <w:rPr>
                <w:rFonts w:ascii="Times New Roman" w:hAnsi="Times New Roman"/>
                <w:bCs/>
                <w:i/>
                <w:iCs/>
                <w:sz w:val="20"/>
                <w:szCs w:val="20"/>
              </w:rPr>
              <w:t xml:space="preserve"> </w:t>
            </w:r>
          </w:p>
          <w:p>
            <w:pPr>
              <w:numPr>
                <w:ilvl w:val="0"/>
                <w:numId w:val="5"/>
              </w:numPr>
              <w:adjustRightInd w:val="0"/>
              <w:snapToGrid w:val="0"/>
              <w:spacing w:after="0" w:line="240" w:lineRule="auto"/>
              <w:contextualSpacing/>
              <w:rPr>
                <w:rFonts w:ascii="Times New Roman" w:hAnsi="Times New Roman"/>
                <w:bCs/>
                <w:iCs/>
                <w:sz w:val="20"/>
                <w:szCs w:val="20"/>
                <w:lang w:eastAsia="ja-JP"/>
              </w:rPr>
            </w:pPr>
            <w:r>
              <w:rPr>
                <w:rFonts w:ascii="Times New Roman" w:hAnsi="Times New Roman"/>
                <w:bCs/>
                <w:sz w:val="20"/>
                <w:szCs w:val="20"/>
              </w:rPr>
              <w:t>Option 1:</w:t>
            </w:r>
          </w:p>
          <w:p>
            <w:pPr>
              <w:numPr>
                <w:ilvl w:val="1"/>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iCs/>
                <w:sz w:val="20"/>
                <w:szCs w:val="20"/>
              </w:rPr>
              <w:t xml:space="preserve">NR-TimeStamp, currently defined in TS 37.355, is reused as the timestamp with the granularity of a slot. </w:t>
            </w:r>
          </w:p>
          <w:p>
            <w:pPr>
              <w:numPr>
                <w:ilvl w:val="1"/>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iCs/>
                <w:sz w:val="20"/>
                <w:szCs w:val="20"/>
              </w:rPr>
              <w:t>FFS: Whether to clarify in the specification the reported RSCP/RSCPD value presents the RSCP/RSCPD of a specific OFDM symbol within the slot identified by the NR-TimeStamp.</w:t>
            </w:r>
          </w:p>
          <w:p>
            <w:pPr>
              <w:numPr>
                <w:ilvl w:val="0"/>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iCs/>
                <w:sz w:val="20"/>
                <w:szCs w:val="20"/>
              </w:rPr>
              <w:t>Option 2:</w:t>
            </w:r>
          </w:p>
          <w:p>
            <w:pPr>
              <w:numPr>
                <w:ilvl w:val="1"/>
                <w:numId w:val="5"/>
              </w:numPr>
              <w:adjustRightInd w:val="0"/>
              <w:snapToGrid w:val="0"/>
              <w:spacing w:after="0" w:line="240" w:lineRule="auto"/>
              <w:contextualSpacing/>
            </w:pPr>
            <w:r>
              <w:rPr>
                <w:rFonts w:ascii="Times New Roman" w:hAnsi="Times New Roman"/>
                <w:bCs/>
                <w:sz w:val="20"/>
                <w:szCs w:val="20"/>
              </w:rPr>
              <w:t>NR-TimeStamp, currently defined in TS 37.355, should be enhanced to include the OFDM symbol index in a slot, as the timestamp for RSCP/RSCPD measurements.</w:t>
            </w:r>
          </w:p>
        </w:tc>
      </w:tr>
    </w:tbl>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the last meeting, it was agreed that the carrier phase measurement result can be reported together with other measurement results. Keeping this in mind, the current timestamp in TS 37.355 should be supported and reused for carrier phase measurement for better compatibility, it</w:t>
      </w:r>
      <w:r>
        <w:rPr>
          <w:rFonts w:ascii="Times New Roman" w:hAnsi="Times New Roman"/>
          <w:sz w:val="20"/>
          <w:szCs w:val="20"/>
        </w:rPr>
        <w:t>’</w:t>
      </w:r>
      <w:r>
        <w:rPr>
          <w:rFonts w:hint="eastAsia" w:ascii="Times New Roman" w:hAnsi="Times New Roman"/>
          <w:sz w:val="20"/>
          <w:szCs w:val="20"/>
        </w:rPr>
        <w:t xml:space="preserve">s more reasonable to use the same timestamp definition with other legacy positioning methods. </w:t>
      </w:r>
    </w:p>
    <w:p>
      <w:pPr>
        <w:widowControl w:val="0"/>
        <w:snapToGrid w:val="0"/>
        <w:spacing w:before="180" w:beforeLines="50" w:after="180" w:afterLines="50" w:line="240" w:lineRule="auto"/>
        <w:jc w:val="center"/>
      </w:pPr>
      <w:r>
        <w:drawing>
          <wp:inline distT="0" distB="0" distL="114300" distR="114300">
            <wp:extent cx="2747645" cy="1450975"/>
            <wp:effectExtent l="0" t="0" r="14605"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747645" cy="1450975"/>
                    </a:xfrm>
                    <a:prstGeom prst="rect">
                      <a:avLst/>
                    </a:prstGeom>
                    <a:noFill/>
                    <a:ln>
                      <a:noFill/>
                    </a:ln>
                  </pic:spPr>
                </pic:pic>
              </a:graphicData>
            </a:graphic>
          </wp:inline>
        </w:drawing>
      </w:r>
    </w:p>
    <w:p>
      <w:pPr>
        <w:pStyle w:val="13"/>
        <w:jc w:val="center"/>
      </w:pPr>
      <w:bookmarkStart w:id="11" w:name="_Ref44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11"/>
      <w:r>
        <w:rPr>
          <w:b w:val="0"/>
          <w:bCs w:val="0"/>
          <w:lang w:val="en-US" w:eastAsia="zh-CN"/>
        </w:rPr>
        <w:t xml:space="preserve">. </w:t>
      </w:r>
      <w:r>
        <w:rPr>
          <w:rFonts w:hint="eastAsia"/>
          <w:b w:val="0"/>
          <w:bCs w:val="0"/>
          <w:lang w:val="en-US" w:eastAsia="zh-CN"/>
        </w:rPr>
        <w:t>E</w:t>
      </w:r>
      <w:r>
        <w:rPr>
          <w:b w:val="0"/>
          <w:bCs w:val="0"/>
          <w:lang w:val="en-US" w:eastAsia="zh-CN"/>
        </w:rPr>
        <w:t xml:space="preserve">xample for </w:t>
      </w:r>
      <w:r>
        <w:rPr>
          <w:rFonts w:hint="eastAsia"/>
          <w:b w:val="0"/>
          <w:bCs w:val="0"/>
          <w:lang w:val="en-US" w:eastAsia="zh-CN"/>
        </w:rPr>
        <w:t>carrier phase measurement difference</w:t>
      </w:r>
      <w:r>
        <w:rPr>
          <w:b w:val="0"/>
          <w:bCs w:val="0"/>
          <w:lang w:val="en-US" w:eastAsia="zh-CN"/>
        </w:rPr>
        <w:t xml:space="preserve"> </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And as discussed in the last meeting</w:t>
      </w:r>
      <w:r>
        <w:rPr>
          <w:rFonts w:ascii="Times New Roman" w:hAnsi="Times New Roman"/>
          <w:sz w:val="20"/>
          <w:szCs w:val="20"/>
        </w:rPr>
        <w:t>’</w:t>
      </w:r>
      <w:r>
        <w:rPr>
          <w:rFonts w:hint="eastAsia" w:ascii="Times New Roman" w:hAnsi="Times New Roman"/>
          <w:sz w:val="20"/>
          <w:szCs w:val="20"/>
        </w:rPr>
        <w:t>s summary, the carrier phase difference between different OFDM symbols is more like unpredictable errors. Take comb-4 as an example, as</w:t>
      </w:r>
      <w:r>
        <w:rPr>
          <w:rFonts w:ascii="Times New Roman" w:hAnsi="Times New Roman"/>
          <w:sz w:val="20"/>
          <w:szCs w:val="20"/>
        </w:rPr>
        <w:t> the figure above shows</w:t>
      </w:r>
      <w:r>
        <w:rPr>
          <w:rFonts w:hint="eastAsia" w:ascii="Times New Roman" w:hAnsi="Times New Roman"/>
          <w:sz w:val="20"/>
          <w:szCs w:val="20"/>
        </w:rPr>
        <w:t>, the measured carrier phase in OFDM symbol</w:t>
      </w:r>
      <w:r>
        <w:rPr>
          <w:rFonts w:hint="eastAsia" w:ascii="Times New Roman" w:hAnsi="Times New Roman"/>
          <w:i/>
          <w:iCs/>
          <w:sz w:val="20"/>
          <w:szCs w:val="20"/>
        </w:rPr>
        <w:t xml:space="preserve"> i</w:t>
      </w:r>
      <w:r>
        <w:rPr>
          <w:rFonts w:hint="eastAsia" w:ascii="Times New Roman" w:hAnsi="Times New Roman"/>
          <w:sz w:val="20"/>
          <w:szCs w:val="20"/>
        </w:rPr>
        <w:t xml:space="preserve"> should be equal to that of OFDM symbol </w:t>
      </w:r>
      <w:r>
        <w:rPr>
          <w:rFonts w:hint="eastAsia" w:ascii="Times New Roman" w:hAnsi="Times New Roman"/>
          <w:i/>
          <w:iCs/>
          <w:sz w:val="20"/>
          <w:szCs w:val="20"/>
        </w:rPr>
        <w:t>i+4</w:t>
      </w:r>
      <w:r>
        <w:rPr>
          <w:rFonts w:hint="eastAsia" w:ascii="Times New Roman" w:hAnsi="Times New Roman"/>
          <w:sz w:val="20"/>
          <w:szCs w:val="20"/>
        </w:rPr>
        <w:t>. And the carrier phase difference between adjacent ca</w:t>
      </w:r>
      <w:r>
        <w:rPr>
          <w:rFonts w:hint="eastAsia" w:ascii="Times New Roman" w:hAnsi="Times New Roman"/>
          <w:sz w:val="20"/>
          <w:szCs w:val="20"/>
          <w:lang w:val="en-US" w:eastAsia="zh-CN"/>
        </w:rPr>
        <w:t>rriers</w:t>
      </w:r>
      <w:r>
        <w:rPr>
          <w:rFonts w:hint="eastAsia" w:ascii="Times New Roman" w:hAnsi="Times New Roman"/>
          <w:sz w:val="20"/>
          <w:szCs w:val="20"/>
        </w:rPr>
        <w:t xml:space="preserve"> of adjacent symbols is caused by the difference in subcarrier spacing, which is</w:t>
      </w:r>
      <w:r>
        <w:rPr>
          <w:rFonts w:hint="eastAsia" w:ascii="Times New Roman" w:hAnsi="Times New Roman"/>
          <w:sz w:val="20"/>
          <w:szCs w:val="20"/>
          <w:lang w:val="en-US" w:eastAsia="zh-CN"/>
        </w:rPr>
        <w:t xml:space="preserve"> a known value</w:t>
      </w:r>
      <w:r>
        <w:rPr>
          <w:rFonts w:ascii="Times New Roman" w:hAnsi="Times New Roman"/>
          <w:sz w:val="20"/>
          <w:szCs w:val="20"/>
        </w:rPr>
        <w:t xml:space="preserve"> (which is abs(CombOffset_2 – CombOffset_1)*SCS*d/c, e.g., 0.01 Rad or 0.57 degrees for SCS=30kHz, d=50m)</w:t>
      </w:r>
      <w:r>
        <w:rPr>
          <w:rFonts w:hint="eastAsia" w:ascii="Times New Roman" w:hAnsi="Times New Roman"/>
          <w:sz w:val="20"/>
          <w:szCs w:val="20"/>
        </w:rPr>
        <w:t>. A granularity of a slot is quite enough for carrier phase measurement time stamp. For the FFS part, it</w:t>
      </w:r>
      <w:r>
        <w:rPr>
          <w:rFonts w:ascii="Times New Roman" w:hAnsi="Times New Roman"/>
          <w:sz w:val="20"/>
          <w:szCs w:val="20"/>
        </w:rPr>
        <w:t>’</w:t>
      </w:r>
      <w:r>
        <w:rPr>
          <w:rFonts w:hint="eastAsia" w:ascii="Times New Roman" w:hAnsi="Times New Roman"/>
          <w:sz w:val="20"/>
          <w:szCs w:val="20"/>
        </w:rPr>
        <w:t>s not necessary to report the specific OFDM symbol index from our perspective. Hence, we have the following proposal.</w:t>
      </w:r>
    </w:p>
    <w:p>
      <w:pPr>
        <w:adjustRightInd w:val="0"/>
        <w:snapToGrid w:val="0"/>
        <w:spacing w:after="0" w:line="240" w:lineRule="auto"/>
        <w:rPr>
          <w:rFonts w:ascii="Times New Roman" w:hAnsi="Times New Roman"/>
          <w:b/>
          <w:bCs/>
          <w:i/>
          <w:sz w:val="20"/>
          <w:szCs w:val="20"/>
        </w:rPr>
      </w:pPr>
      <w:bookmarkStart w:id="12" w:name="_Ref7641"/>
      <w:r>
        <w:rPr>
          <w:rFonts w:ascii="Times New Roman" w:hAnsi="Times New Roman"/>
          <w:b/>
          <w:bCs/>
          <w:i/>
          <w:sz w:val="20"/>
          <w:szCs w:val="20"/>
        </w:rPr>
        <w:t xml:space="preserve">Proposal </w:t>
      </w:r>
      <w:r>
        <w:rPr>
          <w:rFonts w:ascii="Times New Roman" w:hAnsi="Times New Roman"/>
          <w:b/>
          <w:bCs/>
          <w:i/>
          <w:sz w:val="20"/>
          <w:szCs w:val="20"/>
        </w:rPr>
        <w:fldChar w:fldCharType="begin"/>
      </w:r>
      <w:r>
        <w:rPr>
          <w:rFonts w:ascii="Times New Roman" w:hAnsi="Times New Roman"/>
          <w:b/>
          <w:bCs/>
          <w:i/>
          <w:sz w:val="20"/>
          <w:szCs w:val="20"/>
        </w:rPr>
        <w:instrText xml:space="preserve"> SEQ Proposal \* ARABIC </w:instrText>
      </w:r>
      <w:r>
        <w:rPr>
          <w:rFonts w:ascii="Times New Roman" w:hAnsi="Times New Roman"/>
          <w:b/>
          <w:bCs/>
          <w:i/>
          <w:sz w:val="20"/>
          <w:szCs w:val="20"/>
        </w:rPr>
        <w:fldChar w:fldCharType="separate"/>
      </w:r>
      <w:r>
        <w:rPr>
          <w:rFonts w:ascii="Times New Roman" w:hAnsi="Times New Roman"/>
          <w:b/>
          <w:bCs/>
          <w:i/>
          <w:sz w:val="20"/>
          <w:szCs w:val="20"/>
        </w:rPr>
        <w:t>4</w:t>
      </w:r>
      <w:r>
        <w:rPr>
          <w:rFonts w:ascii="Times New Roman" w:hAnsi="Times New Roman"/>
          <w:b/>
          <w:bCs/>
          <w:i/>
          <w:sz w:val="20"/>
          <w:szCs w:val="20"/>
        </w:rPr>
        <w:fldChar w:fldCharType="end"/>
      </w:r>
      <w:r>
        <w:rPr>
          <w:rFonts w:ascii="Times New Roman" w:hAnsi="Times New Roman"/>
          <w:b/>
          <w:bCs/>
          <w:i/>
          <w:sz w:val="20"/>
          <w:szCs w:val="20"/>
        </w:rPr>
        <w:t xml:space="preserve">: </w:t>
      </w:r>
      <w:r>
        <w:rPr>
          <w:rFonts w:ascii="Times New Roman" w:hAnsi="Times New Roman"/>
          <w:b/>
          <w:bCs/>
          <w:i/>
          <w:sz w:val="20"/>
          <w:szCs w:val="20"/>
          <w:lang w:eastAsia="ja-JP"/>
        </w:rPr>
        <w:t xml:space="preserve">Adopt the following option for a timestamp associated with a </w:t>
      </w:r>
      <w:r>
        <w:rPr>
          <w:rFonts w:ascii="Times New Roman" w:hAnsi="Times New Roman"/>
          <w:b/>
          <w:bCs/>
          <w:i/>
          <w:sz w:val="20"/>
          <w:szCs w:val="20"/>
        </w:rPr>
        <w:t xml:space="preserve">reported </w:t>
      </w:r>
      <w:r>
        <w:rPr>
          <w:rFonts w:ascii="Times New Roman" w:hAnsi="Times New Roman"/>
          <w:b/>
          <w:bCs/>
          <w:i/>
          <w:sz w:val="20"/>
          <w:szCs w:val="20"/>
          <w:lang w:eastAsia="ja-JP"/>
        </w:rPr>
        <w:t>RSCP/RSCPD measurement):</w:t>
      </w:r>
      <w:r>
        <w:rPr>
          <w:rFonts w:ascii="Times New Roman" w:hAnsi="Times New Roman"/>
          <w:b/>
          <w:bCs/>
          <w:i/>
          <w:sz w:val="20"/>
          <w:szCs w:val="20"/>
        </w:rPr>
        <w:t xml:space="preserve"> </w:t>
      </w:r>
      <w:bookmarkEnd w:id="12"/>
    </w:p>
    <w:p>
      <w:pPr>
        <w:numPr>
          <w:ilvl w:val="0"/>
          <w:numId w:val="5"/>
        </w:numPr>
        <w:adjustRightInd w:val="0"/>
        <w:snapToGrid w:val="0"/>
        <w:spacing w:after="0" w:line="240" w:lineRule="auto"/>
        <w:contextualSpacing/>
        <w:rPr>
          <w:rFonts w:ascii="Times New Roman" w:hAnsi="Times New Roman"/>
          <w:b/>
          <w:bCs/>
          <w:i/>
          <w:sz w:val="20"/>
          <w:szCs w:val="20"/>
          <w:lang w:eastAsia="ja-JP"/>
        </w:rPr>
      </w:pPr>
      <w:r>
        <w:rPr>
          <w:rFonts w:ascii="Times New Roman" w:hAnsi="Times New Roman"/>
          <w:b/>
          <w:bCs/>
          <w:i/>
          <w:sz w:val="20"/>
          <w:szCs w:val="20"/>
        </w:rPr>
        <w:t>Option 1:</w:t>
      </w:r>
    </w:p>
    <w:p>
      <w:pPr>
        <w:numPr>
          <w:ilvl w:val="1"/>
          <w:numId w:val="5"/>
        </w:numPr>
        <w:adjustRightInd w:val="0"/>
        <w:snapToGrid w:val="0"/>
        <w:spacing w:after="0" w:line="240" w:lineRule="auto"/>
        <w:contextualSpacing/>
        <w:rPr>
          <w:rFonts w:ascii="Times New Roman" w:hAnsi="Times New Roman" w:eastAsia="宋体"/>
          <w:b/>
          <w:bCs/>
          <w:i/>
          <w:sz w:val="20"/>
          <w:szCs w:val="20"/>
        </w:rPr>
      </w:pPr>
      <w:r>
        <w:rPr>
          <w:rFonts w:ascii="Times New Roman" w:hAnsi="Times New Roman"/>
          <w:b/>
          <w:bCs/>
          <w:i/>
          <w:sz w:val="20"/>
          <w:szCs w:val="20"/>
        </w:rPr>
        <w:t xml:space="preserve">NR-TimeStamp, currently defined in TS 37.355, is reused as the timestamp with the granularity of a slot. </w:t>
      </w:r>
    </w:p>
    <w:p>
      <w:pPr>
        <w:pStyle w:val="3"/>
        <w:snapToGrid w:val="0"/>
        <w:spacing w:line="240" w:lineRule="auto"/>
        <w:rPr>
          <w:sz w:val="24"/>
          <w:szCs w:val="24"/>
        </w:rPr>
      </w:pPr>
      <w:r>
        <w:rPr>
          <w:rFonts w:hint="eastAsia"/>
          <w:sz w:val="24"/>
          <w:szCs w:val="24"/>
        </w:rPr>
        <w:t>Multi-path for carrier phase positioning</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hint="eastAsia" w:ascii="Times New Roman" w:hAnsi="Times New Roman" w:eastAsia="宋体"/>
          <w:sz w:val="20"/>
          <w:szCs w:val="20"/>
        </w:rPr>
        <w:t>3GPP TSG RAN WG1#112</w:t>
      </w:r>
      <w:r>
        <w:rPr>
          <w:rFonts w:hint="eastAsia" w:ascii="Times New Roman" w:hAnsi="Times New Roman"/>
          <w:sz w:val="20"/>
          <w:szCs w:val="20"/>
        </w:rPr>
        <w:t xml:space="preserve"> meeting, the following proposal was discussed but no consensus has reached: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line="240" w:lineRule="auto"/>
              <w:jc w:val="both"/>
              <w:rPr>
                <w:rFonts w:ascii="Times New Roman" w:hAnsi="Times New Roman" w:eastAsia="Batang"/>
                <w:i/>
                <w:iCs/>
                <w:sz w:val="20"/>
                <w:szCs w:val="20"/>
                <w:lang w:val="en-CA"/>
              </w:rPr>
            </w:pPr>
            <w:r>
              <w:rPr>
                <w:rFonts w:ascii="Times New Roman" w:hAnsi="Times New Roman" w:eastAsia="Batang"/>
                <w:i/>
                <w:iCs/>
                <w:sz w:val="20"/>
                <w:szCs w:val="20"/>
                <w:lang w:val="en-CA"/>
              </w:rPr>
              <w:t xml:space="preserve">Select one of the following options for NR carrier phase positioning: </w:t>
            </w:r>
          </w:p>
          <w:p>
            <w:pPr>
              <w:pStyle w:val="95"/>
              <w:numPr>
                <w:ilvl w:val="0"/>
                <w:numId w:val="7"/>
              </w:numPr>
              <w:snapToGrid w:val="0"/>
              <w:spacing w:line="240" w:lineRule="auto"/>
              <w:jc w:val="both"/>
              <w:rPr>
                <w:rFonts w:eastAsia="Batang"/>
                <w:i/>
                <w:iCs/>
                <w:sz w:val="20"/>
                <w:lang w:val="en-CA"/>
              </w:rPr>
            </w:pPr>
            <w:r>
              <w:rPr>
                <w:rFonts w:eastAsia="Batang"/>
                <w:i/>
                <w:iCs/>
                <w:sz w:val="20"/>
                <w:lang w:val="en-CA"/>
              </w:rPr>
              <w:t xml:space="preserve">Option 1: </w:t>
            </w:r>
            <w:r>
              <w:rPr>
                <w:i/>
                <w:iCs/>
                <w:sz w:val="20"/>
              </w:rPr>
              <w:t>Report the carrier phase of the first path only</w:t>
            </w:r>
            <w:r>
              <w:rPr>
                <w:rFonts w:hint="eastAsia"/>
                <w:i/>
                <w:iCs/>
                <w:sz w:val="20"/>
                <w:lang w:eastAsia="zh-CN"/>
              </w:rPr>
              <w:t xml:space="preserve"> </w:t>
            </w:r>
          </w:p>
          <w:p>
            <w:pPr>
              <w:pStyle w:val="95"/>
              <w:numPr>
                <w:ilvl w:val="0"/>
                <w:numId w:val="7"/>
              </w:numPr>
              <w:snapToGrid w:val="0"/>
              <w:spacing w:line="240" w:lineRule="auto"/>
              <w:jc w:val="both"/>
            </w:pPr>
            <w:r>
              <w:rPr>
                <w:rFonts w:eastAsia="Batang"/>
                <w:i/>
                <w:iCs/>
                <w:sz w:val="20"/>
                <w:lang w:val="en-CA"/>
              </w:rPr>
              <w:t xml:space="preserve">Option 2: </w:t>
            </w:r>
            <w:r>
              <w:rPr>
                <w:i/>
                <w:iCs/>
                <w:sz w:val="20"/>
              </w:rPr>
              <w:t>Report the carrier phase of the first path, and optionally, the additional paths</w:t>
            </w:r>
          </w:p>
        </w:tc>
      </w:tr>
    </w:tbl>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shown in</w:t>
      </w:r>
      <w:r>
        <w:rPr>
          <w:rFonts w:hint="eastAsia" w:ascii="Times New Roman" w:hAnsi="Times New Roman"/>
          <w:sz w:val="20"/>
          <w:szCs w:val="20"/>
        </w:rPr>
        <w:t xml:space="preserve"> the following figure</w:t>
      </w:r>
      <w:r>
        <w:rPr>
          <w:rFonts w:ascii="Times New Roman" w:hAnsi="Times New Roman"/>
          <w:sz w:val="20"/>
          <w:szCs w:val="20"/>
        </w:rPr>
        <w:t xml:space="preserve">, the measured carrier phase on </w:t>
      </w:r>
      <w:r>
        <w:rPr>
          <w:rFonts w:hint="eastAsia" w:ascii="Times New Roman" w:hAnsi="Times New Roman"/>
          <w:sz w:val="20"/>
          <w:szCs w:val="20"/>
        </w:rPr>
        <w:t xml:space="preserve">the </w:t>
      </w:r>
      <w:r>
        <w:rPr>
          <w:rFonts w:ascii="Times New Roman" w:hAnsi="Times New Roman"/>
          <w:sz w:val="20"/>
          <w:szCs w:val="20"/>
        </w:rPr>
        <w:t>receiver side is related to the transmission path of the SRS/PRS</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C</w:t>
      </w:r>
      <w:r>
        <w:rPr>
          <w:rFonts w:ascii="Times New Roman" w:hAnsi="Times New Roman"/>
          <w:sz w:val="20"/>
          <w:szCs w:val="20"/>
        </w:rPr>
        <w:t xml:space="preserve">ompared to </w:t>
      </w:r>
      <w:r>
        <w:rPr>
          <w:rFonts w:hint="eastAsia" w:ascii="Times New Roman" w:hAnsi="Times New Roman"/>
          <w:sz w:val="20"/>
          <w:szCs w:val="20"/>
        </w:rPr>
        <w:t xml:space="preserve">the </w:t>
      </w:r>
      <w:r>
        <w:rPr>
          <w:rFonts w:ascii="Times New Roman" w:hAnsi="Times New Roman"/>
          <w:sz w:val="20"/>
          <w:szCs w:val="20"/>
        </w:rPr>
        <w:t xml:space="preserve">NLOS path, </w:t>
      </w:r>
      <w:r>
        <w:rPr>
          <w:rFonts w:hint="eastAsia" w:ascii="Times New Roman" w:hAnsi="Times New Roman"/>
          <w:sz w:val="20"/>
          <w:szCs w:val="20"/>
        </w:rPr>
        <w:t xml:space="preserve">the </w:t>
      </w:r>
      <w:r>
        <w:rPr>
          <w:rFonts w:ascii="Times New Roman" w:hAnsi="Times New Roman"/>
          <w:sz w:val="20"/>
          <w:szCs w:val="20"/>
        </w:rPr>
        <w:t xml:space="preserve">LOS path can reflect the distance relationship between the receiver and the transmitter more accurately. On the contrary, if </w:t>
      </w:r>
      <w:r>
        <w:rPr>
          <w:rFonts w:hint="eastAsia" w:ascii="Times New Roman" w:hAnsi="Times New Roman"/>
          <w:sz w:val="20"/>
          <w:szCs w:val="20"/>
        </w:rPr>
        <w:t>UE/TRP</w:t>
      </w:r>
      <w:r>
        <w:rPr>
          <w:rFonts w:ascii="Times New Roman" w:hAnsi="Times New Roman"/>
          <w:sz w:val="20"/>
          <w:szCs w:val="20"/>
        </w:rPr>
        <w:t xml:space="preserve"> measures the carrier phase of the received signal that is transmitted with </w:t>
      </w:r>
      <w:r>
        <w:rPr>
          <w:rFonts w:hint="eastAsia" w:ascii="Times New Roman" w:hAnsi="Times New Roman"/>
          <w:sz w:val="20"/>
          <w:szCs w:val="20"/>
        </w:rPr>
        <w:t xml:space="preserve">the </w:t>
      </w:r>
      <w:r>
        <w:rPr>
          <w:rFonts w:ascii="Times New Roman" w:hAnsi="Times New Roman"/>
          <w:sz w:val="20"/>
          <w:szCs w:val="20"/>
        </w:rPr>
        <w:t>NLOS path, the position of the target UE cannot be estimated with the measured carrier phase.</w:t>
      </w:r>
    </w:p>
    <w:p>
      <w:pPr>
        <w:adjustRightInd w:val="0"/>
        <w:snapToGrid w:val="0"/>
        <w:spacing w:before="180" w:beforeLines="50" w:after="180" w:afterLines="50" w:line="240" w:lineRule="auto"/>
        <w:jc w:val="center"/>
        <w:rPr>
          <w:rStyle w:val="34"/>
          <w:rFonts w:ascii="Times New Roman" w:hAnsi="Times New Roman"/>
          <w:sz w:val="20"/>
          <w:szCs w:val="20"/>
        </w:rPr>
      </w:pPr>
      <w:r>
        <w:rPr>
          <w:rFonts w:ascii="Times New Roman" w:hAnsi="Times New Roman"/>
          <w:sz w:val="20"/>
          <w:szCs w:val="20"/>
        </w:rPr>
        <w:drawing>
          <wp:inline distT="0" distB="0" distL="114300" distR="114300">
            <wp:extent cx="2301875" cy="1078230"/>
            <wp:effectExtent l="0" t="0" r="3175" b="762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8"/>
                    <a:stretch>
                      <a:fillRect/>
                    </a:stretch>
                  </pic:blipFill>
                  <pic:spPr>
                    <a:xfrm>
                      <a:off x="0" y="0"/>
                      <a:ext cx="2301875" cy="1078230"/>
                    </a:xfrm>
                    <a:prstGeom prst="rect">
                      <a:avLst/>
                    </a:prstGeom>
                    <a:noFill/>
                    <a:ln>
                      <a:noFill/>
                    </a:ln>
                  </pic:spPr>
                </pic:pic>
              </a:graphicData>
            </a:graphic>
          </wp:inline>
        </w:drawing>
      </w:r>
    </w:p>
    <w:p>
      <w:pPr>
        <w:pStyle w:val="13"/>
        <w:jc w:val="center"/>
      </w:pPr>
      <w:bookmarkStart w:id="13" w:name="_Ref1817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13"/>
      <w:r>
        <w:rPr>
          <w:b w:val="0"/>
          <w:bCs w:val="0"/>
          <w:lang w:val="en-US" w:eastAsia="zh-CN"/>
        </w:rPr>
        <w:t xml:space="preserve">. </w:t>
      </w:r>
      <w:r>
        <w:rPr>
          <w:rFonts w:hint="eastAsia"/>
          <w:b w:val="0"/>
          <w:bCs w:val="0"/>
          <w:lang w:val="en-US" w:eastAsia="zh-CN"/>
        </w:rPr>
        <w:t>A s</w:t>
      </w:r>
      <w:r>
        <w:rPr>
          <w:b w:val="0"/>
          <w:bCs w:val="0"/>
          <w:lang w:val="en-US" w:eastAsia="zh-CN"/>
        </w:rPr>
        <w:t xml:space="preserve">imple example for LOS/NOS propagation path </w:t>
      </w:r>
    </w:p>
    <w:p>
      <w:pPr>
        <w:widowControl w:val="0"/>
        <w:adjustRightInd w:val="0"/>
        <w:snapToGrid w:val="0"/>
        <w:spacing w:before="180" w:beforeLines="50" w:after="180" w:afterLines="50" w:line="240" w:lineRule="auto"/>
        <w:jc w:val="both"/>
        <w:rPr>
          <w:rFonts w:hint="eastAsia" w:ascii="Times New Roman" w:hAnsi="Times New Roman"/>
          <w:sz w:val="20"/>
          <w:szCs w:val="20"/>
        </w:rPr>
      </w:pPr>
      <w:r>
        <w:rPr>
          <w:rFonts w:hint="eastAsia" w:ascii="Times New Roman" w:hAnsi="Times New Roman"/>
          <w:sz w:val="20"/>
          <w:szCs w:val="20"/>
          <w:lang w:val="en-US" w:eastAsia="zh-CN"/>
        </w:rPr>
        <w:t>In addition, d</w:t>
      </w:r>
      <w:r>
        <w:rPr>
          <w:rFonts w:hint="eastAsia" w:ascii="Times New Roman" w:hAnsi="Times New Roman"/>
          <w:sz w:val="20"/>
          <w:szCs w:val="20"/>
        </w:rPr>
        <w:t>uring the SI stage, there is no explicit evaluation or simulation result that testifies the carrier phase of the additional paths is beneficial for the positioning performance</w:t>
      </w:r>
      <w:r>
        <w:rPr>
          <w:rFonts w:hint="eastAsia" w:ascii="Times New Roman" w:hAnsi="Times New Roman"/>
          <w:sz w:val="20"/>
          <w:szCs w:val="20"/>
          <w:lang w:val="en-US" w:eastAsia="zh-CN"/>
        </w:rPr>
        <w: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Furthermore, reporting the carrier phase of the additional path will definitely increase the UE</w:t>
      </w:r>
      <w:r>
        <w:rPr>
          <w:rFonts w:ascii="Times New Roman" w:hAnsi="Times New Roman"/>
          <w:sz w:val="20"/>
          <w:szCs w:val="20"/>
        </w:rPr>
        <w:t>’</w:t>
      </w:r>
      <w:r>
        <w:rPr>
          <w:rFonts w:hint="eastAsia" w:ascii="Times New Roman" w:hAnsi="Times New Roman"/>
          <w:sz w:val="20"/>
          <w:szCs w:val="20"/>
        </w:rPr>
        <w:t>s measurement and report load, and even if we get the phase of the additional path, the benefits of this report are unknown for carrier phase positioning. Hence, we have the following proposal:</w:t>
      </w:r>
    </w:p>
    <w:p>
      <w:pPr>
        <w:pStyle w:val="13"/>
        <w:snapToGrid w:val="0"/>
        <w:spacing w:before="180" w:beforeLines="50" w:after="180" w:afterLines="50"/>
        <w:jc w:val="both"/>
        <w:rPr>
          <w:i/>
          <w:iCs/>
          <w:lang w:val="en-US" w:eastAsia="zh-CN"/>
        </w:rPr>
      </w:pPr>
      <w:bookmarkStart w:id="14" w:name="_Ref18301"/>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rPr>
        <w:t>:</w:t>
      </w:r>
      <w:r>
        <w:rPr>
          <w:i/>
        </w:rPr>
        <w:t xml:space="preserve"> </w:t>
      </w:r>
      <w:r>
        <w:rPr>
          <w:rFonts w:hint="eastAsia"/>
          <w:i/>
          <w:iCs/>
          <w:lang w:val="en-US" w:eastAsia="zh-CN"/>
        </w:rPr>
        <w:t>Support UE/TRP reporting the carrier phase of the first path only at least for Rel-18.</w:t>
      </w:r>
      <w:bookmarkEnd w:id="14"/>
    </w:p>
    <w:p>
      <w:pPr>
        <w:pStyle w:val="3"/>
        <w:snapToGrid w:val="0"/>
        <w:spacing w:line="240" w:lineRule="auto"/>
        <w:rPr>
          <w:sz w:val="24"/>
          <w:szCs w:val="24"/>
        </w:rPr>
      </w:pPr>
      <w:r>
        <w:rPr>
          <w:rFonts w:hint="eastAsia"/>
          <w:sz w:val="24"/>
          <w:szCs w:val="24"/>
          <w:lang w:val="en-US"/>
        </w:rPr>
        <w:t>Enhancement on PRU assisted carrier phase positioning</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Our previous simulation</w:t>
      </w:r>
      <w:r>
        <w:rPr>
          <w:rFonts w:hint="eastAsia" w:ascii="Times New Roman" w:hAnsi="Times New Roman"/>
          <w:sz w:val="20"/>
          <w:szCs w:val="20"/>
        </w:rPr>
        <w:t>s</w:t>
      </w:r>
      <w:r>
        <w:rPr>
          <w:rFonts w:ascii="Times New Roman" w:hAnsi="Times New Roman"/>
          <w:sz w:val="20"/>
          <w:szCs w:val="20"/>
        </w:rPr>
        <w:t xml:space="preserve"> show that there are multiple error sources, includ</w:t>
      </w:r>
      <w:r>
        <w:rPr>
          <w:rFonts w:hint="eastAsia" w:ascii="Times New Roman" w:hAnsi="Times New Roman"/>
          <w:sz w:val="20"/>
          <w:szCs w:val="20"/>
        </w:rPr>
        <w:t>ing</w:t>
      </w:r>
      <w:r>
        <w:rPr>
          <w:rFonts w:ascii="Times New Roman" w:hAnsi="Times New Roman"/>
          <w:sz w:val="20"/>
          <w:szCs w:val="20"/>
        </w:rPr>
        <w:t xml:space="preserve"> ARP error, initial phase error, etc., </w:t>
      </w:r>
      <w:r>
        <w:rPr>
          <w:rFonts w:hint="eastAsia" w:ascii="Times New Roman" w:hAnsi="Times New Roman"/>
          <w:sz w:val="20"/>
          <w:szCs w:val="20"/>
        </w:rPr>
        <w:t xml:space="preserve">which </w:t>
      </w:r>
      <w:r>
        <w:rPr>
          <w:rFonts w:ascii="Times New Roman" w:hAnsi="Times New Roman"/>
          <w:sz w:val="20"/>
          <w:szCs w:val="20"/>
        </w:rPr>
        <w:t>may deteriorate the carrier phase positioning performance. To reduce the side effects of these errors on positioning performance, PRUs can help</w:t>
      </w:r>
      <w:r>
        <w:rPr>
          <w:rFonts w:hint="eastAsia" w:ascii="Times New Roman" w:hAnsi="Times New Roman"/>
          <w:sz w:val="20"/>
          <w:szCs w:val="20"/>
        </w:rPr>
        <w:t xml:space="preserve"> the</w:t>
      </w:r>
      <w:r>
        <w:rPr>
          <w:rFonts w:ascii="Times New Roman" w:hAnsi="Times New Roman"/>
          <w:sz w:val="20"/>
          <w:szCs w:val="20"/>
        </w:rPr>
        <w:t xml:space="preserve"> positioning system calibrate the carrier phase</w:t>
      </w:r>
      <w:r>
        <w:rPr>
          <w:rFonts w:hint="eastAsia" w:ascii="Times New Roman" w:hAnsi="Times New Roman"/>
          <w:sz w:val="20"/>
          <w:szCs w:val="20"/>
        </w:rPr>
        <w:t>-</w:t>
      </w:r>
      <w:r>
        <w:rPr>
          <w:rFonts w:ascii="Times New Roman" w:hAnsi="Times New Roman"/>
          <w:sz w:val="20"/>
          <w:szCs w:val="20"/>
        </w:rPr>
        <w:t xml:space="preserve">related errors. For a TRP, if the ARP or phase error corresponding to the same beam set remains unchanged, the explicit ARP error or carrier phase error can be evaluated with the help of one or more PRUs. A possible error calibration flow is shown in </w:t>
      </w:r>
      <w:r>
        <w:rPr>
          <w:rFonts w:hint="eastAsia" w:ascii="Times New Roman" w:hAnsi="Times New Roman"/>
          <w:sz w:val="20"/>
          <w:szCs w:val="20"/>
        </w:rPr>
        <w:t>the following figure</w:t>
      </w:r>
      <w:r>
        <w:rPr>
          <w:rFonts w:ascii="Times New Roman" w:hAnsi="Times New Roman"/>
          <w:sz w:val="20"/>
          <w:szCs w:val="20"/>
        </w:rPr>
        <w:t>.</w:t>
      </w:r>
    </w:p>
    <w:p>
      <w:pPr>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106420" cy="1838960"/>
            <wp:effectExtent l="0" t="0" r="17780"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srcRect r="24373"/>
                    <a:stretch>
                      <a:fillRect/>
                    </a:stretch>
                  </pic:blipFill>
                  <pic:spPr>
                    <a:xfrm>
                      <a:off x="0" y="0"/>
                      <a:ext cx="3106420" cy="1838960"/>
                    </a:xfrm>
                    <a:prstGeom prst="rect">
                      <a:avLst/>
                    </a:prstGeom>
                    <a:noFill/>
                    <a:ln>
                      <a:noFill/>
                    </a:ln>
                  </pic:spPr>
                </pic:pic>
              </a:graphicData>
            </a:graphic>
          </wp:inline>
        </w:drawing>
      </w:r>
    </w:p>
    <w:p>
      <w:pPr>
        <w:pStyle w:val="13"/>
        <w:adjustRightInd w:val="0"/>
        <w:snapToGrid w:val="0"/>
        <w:spacing w:before="180" w:beforeLines="50" w:after="180" w:afterLines="50"/>
        <w:jc w:val="center"/>
        <w:rPr>
          <w:b w:val="0"/>
          <w:bCs w:val="0"/>
          <w:lang w:val="en-US" w:eastAsia="zh-CN"/>
        </w:rPr>
      </w:pPr>
      <w:bookmarkStart w:id="15" w:name="_Ref7687"/>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5"/>
      <w:r>
        <w:rPr>
          <w:b w:val="0"/>
          <w:bCs w:val="0"/>
          <w:lang w:val="en-US" w:eastAsia="zh-CN"/>
        </w:rPr>
        <w:t>. ARP or carrier phase error calibration diagram</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ARP or carrier phase error calibration process is as follows (take ARP error as an example):</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1: PRU/PRS selection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hint="eastAsia" w:ascii="Times New Roman" w:hAnsi="Times New Roman"/>
          <w:sz w:val="20"/>
          <w:szCs w:val="20"/>
        </w:rPr>
        <w:t>LMF should select several PRU(s) to help UE calibrate ARP error, and t</w:t>
      </w:r>
      <w:r>
        <w:rPr>
          <w:rFonts w:ascii="Times New Roman" w:hAnsi="Times New Roman"/>
          <w:sz w:val="20"/>
          <w:szCs w:val="20"/>
        </w:rPr>
        <w:t>he criterion for PRU selection</w:t>
      </w:r>
      <w:r>
        <w:rPr>
          <w:rFonts w:hint="eastAsia" w:ascii="Times New Roman" w:hAnsi="Times New Roman"/>
          <w:sz w:val="20"/>
          <w:szCs w:val="20"/>
        </w:rPr>
        <w:t xml:space="preserve"> may</w:t>
      </w:r>
      <w:r>
        <w:rPr>
          <w:rFonts w:ascii="Times New Roman" w:hAnsi="Times New Roman"/>
          <w:sz w:val="20"/>
          <w:szCs w:val="20"/>
        </w:rPr>
        <w:t xml:space="preserve"> include</w:t>
      </w:r>
      <w:r>
        <w:rPr>
          <w:rFonts w:hint="eastAsia" w:ascii="Times New Roman" w:hAnsi="Times New Roman"/>
          <w:sz w:val="20"/>
          <w:szCs w:val="20"/>
        </w:rPr>
        <w:t xml:space="preserve"> the following requirements</w:t>
      </w:r>
      <w:r>
        <w:rPr>
          <w:rFonts w:ascii="Times New Roman" w:hAnsi="Times New Roman"/>
          <w:sz w:val="20"/>
          <w:szCs w:val="20"/>
        </w:rPr>
        <w:t xml:space="preserve">: </w:t>
      </w:r>
    </w:p>
    <w:p>
      <w:pPr>
        <w:widowControl w:val="0"/>
        <w:numPr>
          <w:ilvl w:val="0"/>
          <w:numId w:val="8"/>
        </w:numPr>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The selected PRU should be able to receive the same PRS </w:t>
      </w:r>
      <w:r>
        <w:rPr>
          <w:rFonts w:hint="eastAsia" w:ascii="Times New Roman" w:hAnsi="Times New Roman"/>
          <w:sz w:val="20"/>
          <w:szCs w:val="20"/>
        </w:rPr>
        <w:t xml:space="preserve">as </w:t>
      </w:r>
      <w:r>
        <w:rPr>
          <w:rFonts w:ascii="Times New Roman" w:hAnsi="Times New Roman"/>
          <w:sz w:val="20"/>
          <w:szCs w:val="20"/>
        </w:rPr>
        <w:t>that of the target UE</w:t>
      </w:r>
      <w:r>
        <w:rPr>
          <w:rFonts w:hint="eastAsia" w:ascii="Times New Roman" w:hAnsi="Times New Roman"/>
          <w:sz w:val="20"/>
          <w:szCs w:val="20"/>
        </w:rPr>
        <w:t>.</w:t>
      </w:r>
      <w:r>
        <w:rPr>
          <w:rFonts w:ascii="Times New Roman" w:hAnsi="Times New Roman"/>
          <w:sz w:val="20"/>
          <w:szCs w:val="20"/>
        </w:rPr>
        <w:t xml:space="preserve"> </w:t>
      </w:r>
    </w:p>
    <w:p>
      <w:pPr>
        <w:widowControl w:val="0"/>
        <w:numPr>
          <w:ilvl w:val="0"/>
          <w:numId w:val="8"/>
        </w:numPr>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The selected PRU should be in the LOS direction with the corresponding TRPs.</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_Ref9378 \h </w:instrText>
      </w:r>
      <w:r>
        <w:rPr>
          <w:rFonts w:ascii="Times New Roman" w:hAnsi="Times New Roman"/>
          <w:sz w:val="20"/>
          <w:szCs w:val="20"/>
        </w:rPr>
        <w:fldChar w:fldCharType="separate"/>
      </w:r>
      <w:r>
        <w:rPr>
          <w:rFonts w:ascii="Times New Roman" w:hAnsi="Times New Roman"/>
          <w:sz w:val="20"/>
          <w:szCs w:val="20"/>
        </w:rPr>
        <w:t>Figure 4</w:t>
      </w:r>
      <w:r>
        <w:rPr>
          <w:rFonts w:ascii="Times New Roman" w:hAnsi="Times New Roman"/>
          <w:sz w:val="20"/>
          <w:szCs w:val="20"/>
        </w:rPr>
        <w:fldChar w:fldCharType="end"/>
      </w:r>
      <w:r>
        <w:rPr>
          <w:rFonts w:ascii="Times New Roman" w:hAnsi="Times New Roman"/>
          <w:sz w:val="20"/>
          <w:szCs w:val="20"/>
        </w:rPr>
        <w:t>, there are several PRUs located around a UE, and a TRP is transmitting multiple PRS during the positioning process. In this case, PRU 3 and PRU 4 are selected as reference PRUs to calibrate the error sources for the target UE</w:t>
      </w:r>
      <w:r>
        <w:rPr>
          <w:rFonts w:hint="eastAsia" w:ascii="Times New Roman" w:hAnsi="Times New Roman"/>
          <w:sz w:val="20"/>
          <w:szCs w:val="20"/>
        </w:rPr>
        <w:t>.</w:t>
      </w:r>
      <w:r>
        <w:rPr>
          <w:rFonts w:ascii="Times New Roman" w:hAnsi="Times New Roman"/>
          <w:sz w:val="20"/>
          <w:szCs w:val="20"/>
        </w:rPr>
        <w:t xml:space="preserve"> PRU 3, PRU 4 and target UE share the same ARP error in this deployment setting.</w:t>
      </w:r>
    </w:p>
    <w:p>
      <w:pPr>
        <w:widowControl w:val="0"/>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507740" cy="1406525"/>
            <wp:effectExtent l="0" t="0" r="16510" b="317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0"/>
                    <a:stretch>
                      <a:fillRect/>
                    </a:stretch>
                  </pic:blipFill>
                  <pic:spPr>
                    <a:xfrm>
                      <a:off x="0" y="0"/>
                      <a:ext cx="3507740" cy="1406525"/>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rPr>
      </w:pPr>
      <w:bookmarkStart w:id="16" w:name="_Ref9378"/>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bookmarkEnd w:id="16"/>
      <w:r>
        <w:rPr>
          <w:rFonts w:ascii="Times New Roman" w:hAnsi="Times New Roman"/>
          <w:sz w:val="20"/>
          <w:szCs w:val="20"/>
        </w:rPr>
        <w:t>. PRU selection example</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2: Measurement report</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PRU(s) measure and report the carrier phase of the received PRS. </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3: Error calculation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After receiving the carrier phase reported by PRU, LMF can calculate the expected error source as follows:</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Assume that the antenna location of TRP is (</w:t>
      </w:r>
      <w:r>
        <w:rPr>
          <w:rFonts w:ascii="Times New Roman" w:hAnsi="Times New Roman"/>
          <w:i/>
          <w:iCs/>
          <w:sz w:val="20"/>
          <w:szCs w:val="20"/>
        </w:rPr>
        <w:t>x,y</w:t>
      </w:r>
      <w:r>
        <w:rPr>
          <w:rFonts w:ascii="Times New Roman" w:hAnsi="Times New Roman"/>
          <w:sz w:val="20"/>
          <w:szCs w:val="20"/>
        </w:rPr>
        <w:t xml:space="preserve">), </w:t>
      </w:r>
      <w:r>
        <w:rPr>
          <w:rFonts w:hint="eastAsia" w:ascii="Times New Roman" w:hAnsi="Times New Roman"/>
          <w:sz w:val="20"/>
          <w:szCs w:val="20"/>
        </w:rPr>
        <w:t xml:space="preserve">the </w:t>
      </w:r>
      <w:r>
        <w:rPr>
          <w:rFonts w:ascii="Times New Roman" w:hAnsi="Times New Roman"/>
          <w:sz w:val="20"/>
          <w:szCs w:val="20"/>
        </w:rPr>
        <w:t>ARP error is (</w:t>
      </w:r>
      <w:r>
        <w:rPr>
          <w:rFonts w:ascii="Times New Roman" w:hAnsi="Times New Roman"/>
          <w:i/>
          <w:iCs/>
          <w:sz w:val="20"/>
          <w:szCs w:val="20"/>
        </w:rPr>
        <w:t>e</w:t>
      </w:r>
      <w:r>
        <w:rPr>
          <w:rFonts w:ascii="Times New Roman" w:hAnsi="Times New Roman"/>
          <w:i/>
          <w:iCs/>
          <w:sz w:val="20"/>
          <w:szCs w:val="20"/>
          <w:vertAlign w:val="subscript"/>
        </w:rPr>
        <w:t>x</w:t>
      </w:r>
      <w:r>
        <w:rPr>
          <w:rFonts w:ascii="Times New Roman" w:hAnsi="Times New Roman"/>
          <w:i/>
          <w:iCs/>
          <w:sz w:val="20"/>
          <w:szCs w:val="20"/>
        </w:rPr>
        <w:t>,e</w:t>
      </w:r>
      <w:r>
        <w:rPr>
          <w:rFonts w:ascii="Times New Roman" w:hAnsi="Times New Roman"/>
          <w:i/>
          <w:iCs/>
          <w:sz w:val="20"/>
          <w:szCs w:val="20"/>
          <w:vertAlign w:val="subscript"/>
        </w:rPr>
        <w:t>y</w:t>
      </w:r>
      <w:r>
        <w:rPr>
          <w:rFonts w:ascii="Times New Roman" w:hAnsi="Times New Roman"/>
          <w:sz w:val="20"/>
          <w:szCs w:val="20"/>
        </w:rPr>
        <w:t>),</w:t>
      </w:r>
      <w:r>
        <w:rPr>
          <w:rFonts w:hint="eastAsia" w:ascii="Times New Roman" w:hAnsi="Times New Roman"/>
          <w:sz w:val="20"/>
          <w:szCs w:val="20"/>
        </w:rPr>
        <w:t xml:space="preserve"> and</w:t>
      </w:r>
      <w:r>
        <w:rPr>
          <w:rFonts w:ascii="Times New Roman" w:hAnsi="Times New Roman"/>
          <w:sz w:val="20"/>
          <w:szCs w:val="20"/>
        </w:rPr>
        <w:t xml:space="preserve"> the actual ARP location is (</w:t>
      </w:r>
      <w:r>
        <w:rPr>
          <w:rFonts w:ascii="Times New Roman" w:hAnsi="Times New Roman"/>
          <w:i/>
          <w:iCs/>
          <w:sz w:val="20"/>
          <w:szCs w:val="20"/>
        </w:rPr>
        <w:t>X,Y</w:t>
      </w:r>
      <w:r>
        <w:rPr>
          <w:rFonts w:ascii="Times New Roman" w:hAnsi="Times New Roman"/>
          <w:sz w:val="20"/>
          <w:szCs w:val="20"/>
        </w:rPr>
        <w:t>)= (</w:t>
      </w:r>
      <w:r>
        <w:rPr>
          <w:rFonts w:ascii="Times New Roman" w:hAnsi="Times New Roman"/>
          <w:i/>
          <w:iCs/>
          <w:sz w:val="20"/>
          <w:szCs w:val="20"/>
        </w:rPr>
        <w:t>x+e</w:t>
      </w:r>
      <w:r>
        <w:rPr>
          <w:rFonts w:ascii="Times New Roman" w:hAnsi="Times New Roman"/>
          <w:i/>
          <w:iCs/>
          <w:sz w:val="20"/>
          <w:szCs w:val="20"/>
          <w:vertAlign w:val="subscript"/>
        </w:rPr>
        <w:t>x</w:t>
      </w:r>
      <w:r>
        <w:rPr>
          <w:rFonts w:ascii="Times New Roman" w:hAnsi="Times New Roman"/>
          <w:i/>
          <w:iCs/>
          <w:sz w:val="20"/>
          <w:szCs w:val="20"/>
        </w:rPr>
        <w:t>, y+e</w:t>
      </w:r>
      <w:r>
        <w:rPr>
          <w:rFonts w:ascii="Times New Roman" w:hAnsi="Times New Roman"/>
          <w:i/>
          <w:iCs/>
          <w:sz w:val="20"/>
          <w:szCs w:val="20"/>
          <w:vertAlign w:val="subscript"/>
        </w:rPr>
        <w:t>y</w:t>
      </w:r>
      <w:r>
        <w:rPr>
          <w:rFonts w:ascii="Times New Roman" w:hAnsi="Times New Roman"/>
          <w:sz w:val="20"/>
          <w:szCs w:val="20"/>
        </w:rPr>
        <w:t>). The following calculation describe</w:t>
      </w:r>
      <w:r>
        <w:rPr>
          <w:rFonts w:hint="eastAsia" w:ascii="Times New Roman" w:hAnsi="Times New Roman"/>
          <w:sz w:val="20"/>
          <w:szCs w:val="20"/>
        </w:rPr>
        <w:t>s</w:t>
      </w:r>
      <w:r>
        <w:rPr>
          <w:rFonts w:ascii="Times New Roman" w:hAnsi="Times New Roman"/>
          <w:sz w:val="20"/>
          <w:szCs w:val="20"/>
        </w:rPr>
        <w:t xml:space="preserve"> the error estimation detail.</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Suppose the coordinates of PRU 3 and PRU 4 are (</w:t>
      </w:r>
      <w:r>
        <w:rPr>
          <w:rFonts w:ascii="Times New Roman" w:hAnsi="Times New Roman"/>
          <w:i/>
          <w:iCs/>
          <w:sz w:val="20"/>
          <w:szCs w:val="20"/>
        </w:rPr>
        <w:t>x</w:t>
      </w:r>
      <w:r>
        <w:rPr>
          <w:rFonts w:ascii="Times New Roman" w:hAnsi="Times New Roman"/>
          <w:i/>
          <w:iCs/>
          <w:sz w:val="20"/>
          <w:szCs w:val="20"/>
          <w:vertAlign w:val="subscript"/>
        </w:rPr>
        <w:t>3</w:t>
      </w:r>
      <w:r>
        <w:rPr>
          <w:rFonts w:ascii="Times New Roman" w:hAnsi="Times New Roman"/>
          <w:i/>
          <w:iCs/>
          <w:sz w:val="20"/>
          <w:szCs w:val="20"/>
        </w:rPr>
        <w:t>,y</w:t>
      </w:r>
      <w:r>
        <w:rPr>
          <w:rFonts w:ascii="Times New Roman" w:hAnsi="Times New Roman"/>
          <w:i/>
          <w:iCs/>
          <w:sz w:val="20"/>
          <w:szCs w:val="20"/>
          <w:vertAlign w:val="subscript"/>
        </w:rPr>
        <w:t>3</w:t>
      </w:r>
      <w:r>
        <w:rPr>
          <w:rFonts w:ascii="Times New Roman" w:hAnsi="Times New Roman"/>
          <w:sz w:val="20"/>
          <w:szCs w:val="20"/>
        </w:rPr>
        <w:t>), (</w:t>
      </w:r>
      <w:r>
        <w:rPr>
          <w:rFonts w:ascii="Times New Roman" w:hAnsi="Times New Roman"/>
          <w:i/>
          <w:iCs/>
          <w:sz w:val="20"/>
          <w:szCs w:val="20"/>
        </w:rPr>
        <w:t>x</w:t>
      </w:r>
      <w:r>
        <w:rPr>
          <w:rFonts w:ascii="Times New Roman" w:hAnsi="Times New Roman"/>
          <w:i/>
          <w:iCs/>
          <w:sz w:val="20"/>
          <w:szCs w:val="20"/>
          <w:vertAlign w:val="subscript"/>
        </w:rPr>
        <w:t>4</w:t>
      </w:r>
      <w:r>
        <w:rPr>
          <w:rFonts w:ascii="Times New Roman" w:hAnsi="Times New Roman"/>
          <w:i/>
          <w:iCs/>
          <w:sz w:val="20"/>
          <w:szCs w:val="20"/>
        </w:rPr>
        <w:t>,y</w:t>
      </w:r>
      <w:r>
        <w:rPr>
          <w:rFonts w:ascii="Times New Roman" w:hAnsi="Times New Roman"/>
          <w:i/>
          <w:iCs/>
          <w:sz w:val="20"/>
          <w:szCs w:val="20"/>
          <w:vertAlign w:val="subscript"/>
        </w:rPr>
        <w:t>4</w:t>
      </w:r>
      <w:r>
        <w:rPr>
          <w:rFonts w:ascii="Times New Roman" w:hAnsi="Times New Roman"/>
          <w:sz w:val="20"/>
          <w:szCs w:val="20"/>
        </w:rPr>
        <w:t xml:space="preserve">) respectively. The PRS carrier phase measured by PRU 3 and PRU 4 are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oMath>
      <w:r>
        <w:rPr>
          <w:rFonts w:ascii="Times New Roman" w:hAnsi="Times New Roman" w:eastAsia="宋体"/>
          <w:color w:val="000000"/>
          <w:sz w:val="20"/>
          <w:szCs w:val="20"/>
          <w:lang w:bidi="ar"/>
        </w:rPr>
        <w:t xml:space="preserve">,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oMath>
      <w:r>
        <w:rPr>
          <w:rFonts w:ascii="Times New Roman" w:hAnsi="Times New Roman"/>
          <w:sz w:val="20"/>
          <w:szCs w:val="20"/>
        </w:rPr>
        <w:t xml:space="preserve"> respectively. The actual distance between TRP and PRU 3 is:</w:t>
      </w:r>
    </w:p>
    <w:p>
      <w:pPr>
        <w:adjustRightInd w:val="0"/>
        <w:snapToGrid w:val="0"/>
        <w:spacing w:before="180" w:beforeLines="50" w:after="180" w:afterLines="50" w:line="240" w:lineRule="auto"/>
        <w:jc w:val="both"/>
        <w:rPr>
          <w:rFonts w:ascii="Times New Roman" w:hAnsi="Times New Roman" w:eastAsia="宋体"/>
          <w:color w:val="000000"/>
          <w:sz w:val="20"/>
          <w:szCs w:val="20"/>
          <w:lang w:bidi="ar"/>
        </w:rPr>
      </w:pPr>
      <m:oMathPara>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D</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(X−</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(Y−</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r>
            <m:rPr>
              <m:sty m:val="p"/>
            </m:rPr>
            <w:rPr>
              <w:rFonts w:ascii="Cambria Math" w:hAnsi="Cambria Math" w:eastAsia="宋体"/>
              <w:color w:val="000000"/>
              <w:sz w:val="20"/>
              <w:szCs w:val="20"/>
              <w:lang w:bidi="ar"/>
            </w:rPr>
            <m:t>)</m:t>
          </m:r>
        </m:oMath>
      </m:oMathPara>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actual distance between TRP and PRU 4 is:</w:t>
      </w:r>
    </w:p>
    <w:p>
      <w:pPr>
        <w:adjustRightInd w:val="0"/>
        <w:snapToGrid w:val="0"/>
        <w:spacing w:before="180" w:beforeLines="50" w:after="180" w:afterLines="50" w:line="240" w:lineRule="auto"/>
        <w:jc w:val="both"/>
        <w:rPr>
          <w:rFonts w:ascii="Times New Roman" w:hAnsi="Times New Roman" w:eastAsia="宋体"/>
          <w:color w:val="000000"/>
          <w:sz w:val="20"/>
          <w:szCs w:val="20"/>
          <w:lang w:bidi="ar"/>
        </w:rPr>
      </w:pPr>
      <m:oMathPara>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D</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(X−</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(Y−</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r>
            <m:rPr>
              <m:sty m:val="p"/>
            </m:rPr>
            <w:rPr>
              <w:rFonts w:ascii="Cambria Math" w:hAnsi="Cambria Math" w:eastAsia="宋体"/>
              <w:color w:val="000000"/>
              <w:sz w:val="20"/>
              <w:szCs w:val="20"/>
              <w:lang w:bidi="ar"/>
            </w:rPr>
            <m:t>)</m:t>
          </m:r>
        </m:oMath>
      </m:oMathPara>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 </w:t>
      </w:r>
      <m:oMath>
        <m:r>
          <m:rPr>
            <m:sty m:val="p"/>
          </m:rPr>
          <w:rPr>
            <w:rFonts w:ascii="Cambria Math" w:hAnsi="Cambria Math"/>
            <w:color w:val="000000"/>
            <w:sz w:val="20"/>
            <w:szCs w:val="20"/>
            <w:lang w:bidi="ar"/>
          </w:rPr>
          <m:t>λ</m:t>
        </m:r>
      </m:oMath>
      <w:r>
        <w:rPr>
          <w:rFonts w:ascii="Times New Roman" w:hAnsi="Times New Roman"/>
          <w:sz w:val="20"/>
          <w:szCs w:val="20"/>
        </w:rPr>
        <w:t xml:space="preserve"> is the wavelength of measured PRS, </w:t>
      </w:r>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oMath>
      <w:r>
        <w:rPr>
          <w:rFonts w:hint="eastAsia" w:ascii="Times New Roman" w:hAnsi="Times New Roman"/>
          <w:sz w:val="20"/>
          <w:szCs w:val="20"/>
        </w:rPr>
        <w:t xml:space="preserve"> and </w:t>
      </w:r>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oMath>
      <w:r>
        <w:rPr>
          <w:rFonts w:ascii="Times New Roman" w:hAnsi="Times New Roman"/>
          <w:sz w:val="20"/>
          <w:szCs w:val="20"/>
        </w:rPr>
        <w:t xml:space="preserve"> </w:t>
      </w:r>
      <w:r>
        <w:rPr>
          <w:rFonts w:hint="eastAsia" w:ascii="Times New Roman" w:hAnsi="Times New Roman"/>
          <w:sz w:val="20"/>
          <w:szCs w:val="20"/>
        </w:rPr>
        <w:t>are</w:t>
      </w:r>
      <w:r>
        <w:rPr>
          <w:rFonts w:ascii="Times New Roman" w:hAnsi="Times New Roman"/>
          <w:sz w:val="20"/>
          <w:szCs w:val="20"/>
        </w:rPr>
        <w:t xml:space="preserve"> the integer part</w:t>
      </w:r>
      <w:r>
        <w:rPr>
          <w:rFonts w:hint="eastAsia" w:ascii="Times New Roman" w:hAnsi="Times New Roman"/>
          <w:sz w:val="20"/>
          <w:szCs w:val="20"/>
        </w:rPr>
        <w:t>s of PRU 3 and PRU 4</w:t>
      </w:r>
      <w:r>
        <w:rPr>
          <w:rFonts w:ascii="Times New Roman" w:hAnsi="Times New Roman"/>
          <w:sz w:val="20"/>
          <w:szCs w:val="20"/>
        </w:rPr>
        <w:t>, combining the above formula, the actual TRP antenna location (</w:t>
      </w:r>
      <w:r>
        <w:rPr>
          <w:rFonts w:ascii="Times New Roman" w:hAnsi="Times New Roman"/>
          <w:i/>
          <w:iCs/>
          <w:sz w:val="20"/>
          <w:szCs w:val="20"/>
        </w:rPr>
        <w:t>X,Y</w:t>
      </w:r>
      <w:r>
        <w:rPr>
          <w:rFonts w:ascii="Times New Roman" w:hAnsi="Times New Roman"/>
          <w:sz w:val="20"/>
          <w:szCs w:val="20"/>
        </w:rPr>
        <w:t>) can be calculated. The estimated ARP error (</w:t>
      </w:r>
      <w:r>
        <w:rPr>
          <w:rFonts w:ascii="Times New Roman" w:hAnsi="Times New Roman"/>
          <w:i/>
          <w:iCs/>
          <w:sz w:val="20"/>
          <w:szCs w:val="20"/>
        </w:rPr>
        <w:t>e</w:t>
      </w:r>
      <w:r>
        <w:rPr>
          <w:rFonts w:ascii="Times New Roman" w:hAnsi="Times New Roman"/>
          <w:i/>
          <w:iCs/>
          <w:sz w:val="20"/>
          <w:szCs w:val="20"/>
          <w:vertAlign w:val="subscript"/>
        </w:rPr>
        <w:t>x</w:t>
      </w:r>
      <w:r>
        <w:rPr>
          <w:rFonts w:ascii="Times New Roman" w:hAnsi="Times New Roman"/>
          <w:i/>
          <w:iCs/>
          <w:sz w:val="20"/>
          <w:szCs w:val="20"/>
        </w:rPr>
        <w:t>,e</w:t>
      </w:r>
      <w:r>
        <w:rPr>
          <w:rFonts w:ascii="Times New Roman" w:hAnsi="Times New Roman"/>
          <w:i/>
          <w:iCs/>
          <w:sz w:val="20"/>
          <w:szCs w:val="20"/>
          <w:vertAlign w:val="subscript"/>
        </w:rPr>
        <w:t>y</w:t>
      </w:r>
      <w:r>
        <w:rPr>
          <w:rFonts w:ascii="Times New Roman" w:hAnsi="Times New Roman"/>
          <w:sz w:val="20"/>
          <w:szCs w:val="20"/>
        </w:rPr>
        <w:t>) can be calculated</w:t>
      </w:r>
      <w:r>
        <w:rPr>
          <w:rFonts w:hint="eastAsia" w:ascii="Times New Roman" w:hAnsi="Times New Roman"/>
          <w:sz w:val="20"/>
          <w:szCs w:val="20"/>
        </w:rPr>
        <w:t xml:space="preserve"> as follows:</w:t>
      </w:r>
    </w:p>
    <w:p>
      <w:pPr>
        <w:adjustRightInd w:val="0"/>
        <w:snapToGrid w:val="0"/>
        <w:spacing w:before="180" w:beforeLines="50" w:after="180" w:afterLines="50" w:line="240" w:lineRule="auto"/>
        <w:jc w:val="center"/>
        <w:rPr>
          <w:rFonts w:ascii="Times New Roman" w:hAnsi="Times New Roman"/>
          <w:sz w:val="20"/>
          <w:szCs w:val="20"/>
        </w:rPr>
      </w:pPr>
      <m:oMath>
        <m:sSub>
          <m:sSubPr>
            <m:ctrlPr>
              <w:rPr>
                <w:rStyle w:val="34"/>
                <w:rFonts w:ascii="Cambria Math" w:hAnsi="Cambria Math"/>
                <w:i/>
                <w:sz w:val="20"/>
                <w:szCs w:val="20"/>
              </w:rPr>
            </m:ctrlPr>
          </m:sSubPr>
          <m:e>
            <m:r>
              <m:rPr/>
              <w:rPr>
                <w:rStyle w:val="34"/>
                <w:rFonts w:ascii="Cambria Math" w:hAnsi="Cambria Math"/>
                <w:sz w:val="20"/>
                <w:szCs w:val="20"/>
              </w:rPr>
              <m:t>e</m:t>
            </m:r>
            <m:ctrlPr>
              <w:rPr>
                <w:rStyle w:val="34"/>
                <w:rFonts w:ascii="Cambria Math" w:hAnsi="Cambria Math"/>
                <w:i/>
                <w:sz w:val="20"/>
                <w:szCs w:val="20"/>
              </w:rPr>
            </m:ctrlPr>
          </m:e>
          <m:sub>
            <m:r>
              <m:rPr/>
              <w:rPr>
                <w:rStyle w:val="34"/>
                <w:rFonts w:ascii="Cambria Math" w:hAnsi="Cambria Math"/>
                <w:sz w:val="20"/>
                <w:szCs w:val="20"/>
              </w:rPr>
              <m:t>x</m:t>
            </m:r>
            <m:ctrlPr>
              <w:rPr>
                <w:rStyle w:val="34"/>
                <w:rFonts w:ascii="Cambria Math" w:hAnsi="Cambria Math"/>
                <w:i/>
                <w:sz w:val="20"/>
                <w:szCs w:val="20"/>
              </w:rPr>
            </m:ctrlPr>
          </m:sub>
        </m:sSub>
        <m:r>
          <m:rPr/>
          <w:rPr>
            <w:rStyle w:val="34"/>
            <w:rFonts w:ascii="Cambria Math" w:hAnsi="Cambria Math"/>
            <w:sz w:val="20"/>
            <w:szCs w:val="20"/>
          </w:rPr>
          <m:t xml:space="preserve">=X−x, </m:t>
        </m:r>
        <m:sSub>
          <m:sSubPr>
            <m:ctrlPr>
              <w:rPr>
                <w:rStyle w:val="34"/>
                <w:rFonts w:ascii="Cambria Math" w:hAnsi="Cambria Math"/>
                <w:i/>
                <w:sz w:val="20"/>
                <w:szCs w:val="20"/>
              </w:rPr>
            </m:ctrlPr>
          </m:sSubPr>
          <m:e>
            <m:r>
              <m:rPr/>
              <w:rPr>
                <w:rStyle w:val="34"/>
                <w:rFonts w:ascii="Cambria Math" w:hAnsi="Cambria Math"/>
                <w:sz w:val="20"/>
                <w:szCs w:val="20"/>
              </w:rPr>
              <m:t>e</m:t>
            </m:r>
            <m:ctrlPr>
              <w:rPr>
                <w:rStyle w:val="34"/>
                <w:rFonts w:ascii="Cambria Math" w:hAnsi="Cambria Math"/>
                <w:i/>
                <w:sz w:val="20"/>
                <w:szCs w:val="20"/>
              </w:rPr>
            </m:ctrlPr>
          </m:e>
          <m:sub>
            <m:r>
              <m:rPr/>
              <w:rPr>
                <w:rStyle w:val="34"/>
                <w:rFonts w:ascii="Cambria Math" w:hAnsi="Cambria Math"/>
                <w:sz w:val="20"/>
                <w:szCs w:val="20"/>
              </w:rPr>
              <m:t>y</m:t>
            </m:r>
            <m:ctrlPr>
              <w:rPr>
                <w:rStyle w:val="34"/>
                <w:rFonts w:ascii="Cambria Math" w:hAnsi="Cambria Math"/>
                <w:i/>
                <w:sz w:val="20"/>
                <w:szCs w:val="20"/>
              </w:rPr>
            </m:ctrlPr>
          </m:sub>
        </m:sSub>
        <m:r>
          <m:rPr/>
          <w:rPr>
            <w:rStyle w:val="34"/>
            <w:rFonts w:ascii="Cambria Math" w:hAnsi="Cambria Math"/>
            <w:sz w:val="20"/>
            <w:szCs w:val="20"/>
          </w:rPr>
          <m:t>=Y−y</m:t>
        </m:r>
      </m:oMath>
      <w:r>
        <w:rPr>
          <w:rFonts w:ascii="Times New Roman" w:hAnsi="Times New Roman"/>
          <w:sz w:val="20"/>
          <w:szCs w:val="20"/>
        </w:rPr>
        <w:t>.</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4: Error delivery</w:t>
      </w:r>
    </w:p>
    <w:p>
      <w:pPr>
        <w:widowControl w:val="0"/>
        <w:adjustRightInd w:val="0"/>
        <w:snapToGrid w:val="0"/>
        <w:spacing w:before="180" w:beforeLines="50" w:after="180" w:afterLines="50" w:line="240" w:lineRule="auto"/>
        <w:ind w:firstLine="0" w:firstLineChars="0"/>
        <w:jc w:val="both"/>
        <w:rPr>
          <w:rFonts w:ascii="Times New Roman" w:hAnsi="Times New Roman"/>
          <w:sz w:val="20"/>
          <w:szCs w:val="20"/>
        </w:rPr>
      </w:pPr>
      <w:r>
        <w:rPr>
          <w:rFonts w:ascii="Times New Roman" w:hAnsi="Times New Roman"/>
          <w:sz w:val="20"/>
          <w:szCs w:val="20"/>
        </w:rPr>
        <w:t xml:space="preserve">After error calculation, LMF can deliver the estimated error to UE for further location calculation. In this way, UE can get more precise </w:t>
      </w:r>
      <w:r>
        <w:rPr>
          <w:rFonts w:hint="eastAsia" w:ascii="Times New Roman" w:hAnsi="Times New Roman"/>
          <w:sz w:val="20"/>
          <w:szCs w:val="20"/>
        </w:rPr>
        <w:t>positioning</w:t>
      </w:r>
      <w:r>
        <w:rPr>
          <w:rFonts w:ascii="Times New Roman" w:hAnsi="Times New Roman"/>
          <w:sz w:val="20"/>
          <w:szCs w:val="20"/>
        </w:rPr>
        <w:t xml:space="preserve"> result</w:t>
      </w:r>
      <w:r>
        <w:rPr>
          <w:rFonts w:hint="eastAsia" w:ascii="Times New Roman" w:hAnsi="Times New Roman"/>
          <w:sz w:val="20"/>
          <w:szCs w:val="20"/>
        </w:rPr>
        <w:t>s</w:t>
      </w:r>
      <w:r>
        <w:rPr>
          <w:rFonts w:ascii="Times New Roman" w:hAnsi="Times New Roman"/>
          <w:sz w:val="20"/>
          <w:szCs w:val="20"/>
        </w:rPr>
        <w:t xml:space="preserve"> while calibrating the ARP error. </w:t>
      </w:r>
      <w:r>
        <w:rPr>
          <w:rFonts w:hint="eastAsia" w:ascii="Times New Roman" w:hAnsi="Times New Roman"/>
          <w:sz w:val="20"/>
          <w:szCs w:val="20"/>
        </w:rPr>
        <w:t xml:space="preserve">The carrier phase error can also be calculated in the same way. </w:t>
      </w:r>
      <w:r>
        <w:rPr>
          <w:rFonts w:ascii="Times New Roman" w:hAnsi="Times New Roman"/>
          <w:sz w:val="20"/>
          <w:szCs w:val="20"/>
        </w:rPr>
        <w:t>Hence, we have the following proposal.</w:t>
      </w:r>
    </w:p>
    <w:p>
      <w:pPr>
        <w:pStyle w:val="13"/>
        <w:adjustRightInd w:val="0"/>
        <w:snapToGrid w:val="0"/>
        <w:spacing w:before="180" w:beforeLines="50" w:after="180" w:afterLines="50"/>
        <w:jc w:val="both"/>
        <w:rPr>
          <w:rFonts w:eastAsia="宋体"/>
          <w:i/>
          <w:lang w:val="en-US" w:eastAsia="zh-CN"/>
        </w:rPr>
      </w:pPr>
      <w:bookmarkStart w:id="17" w:name="_Ref12105"/>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6</w:t>
      </w:r>
      <w:r>
        <w:rPr>
          <w:rFonts w:eastAsia="宋体"/>
          <w:i/>
        </w:rPr>
        <w:fldChar w:fldCharType="end"/>
      </w:r>
      <w:r>
        <w:rPr>
          <w:rFonts w:eastAsia="宋体"/>
          <w:i/>
        </w:rPr>
        <w:t xml:space="preserve">: </w:t>
      </w:r>
      <w:r>
        <w:rPr>
          <w:rFonts w:eastAsia="宋体"/>
          <w:i/>
          <w:lang w:val="en-US" w:eastAsia="zh-CN"/>
        </w:rPr>
        <w:t>For DL UE-based carrier phase positioning, the ARP or carrier phase error of the TRP can be delivered by LMF.</w:t>
      </w:r>
      <w:bookmarkEnd w:id="17"/>
    </w:p>
    <w:p>
      <w:pPr>
        <w:widowControl w:val="0"/>
        <w:adjustRightInd w:val="0"/>
        <w:snapToGrid w:val="0"/>
        <w:spacing w:before="180" w:beforeLines="50" w:after="180" w:afterLines="50" w:line="240" w:lineRule="auto"/>
        <w:jc w:val="both"/>
        <w:rPr>
          <w:rFonts w:ascii="Times New Roman" w:hAnsi="Times New Roman"/>
          <w:color w:val="000000"/>
          <w:sz w:val="20"/>
          <w:szCs w:val="20"/>
          <w:lang w:bidi="ar"/>
        </w:rPr>
      </w:pPr>
      <w:r>
        <w:rPr>
          <w:rFonts w:ascii="Times New Roman" w:hAnsi="Times New Roman"/>
          <w:sz w:val="20"/>
          <w:szCs w:val="20"/>
        </w:rPr>
        <w:t xml:space="preserve">In </w:t>
      </w:r>
      <w:r>
        <w:rPr>
          <w:rFonts w:hint="eastAsia" w:ascii="Times New Roman" w:hAnsi="Times New Roman"/>
          <w:sz w:val="20"/>
          <w:szCs w:val="20"/>
        </w:rPr>
        <w:t xml:space="preserve">the </w:t>
      </w:r>
      <w:r>
        <w:rPr>
          <w:rFonts w:ascii="Times New Roman" w:hAnsi="Times New Roman"/>
          <w:sz w:val="20"/>
          <w:szCs w:val="20"/>
        </w:rPr>
        <w:t>PRU-assisted carrier phase positioning procedure, PRU knows the exact location where it camps on. Assume that the coordinates of TRP and PRU are (</w:t>
      </w:r>
      <w:r>
        <w:rPr>
          <w:rFonts w:ascii="Times New Roman" w:hAnsi="Times New Roman"/>
          <w:i/>
          <w:iCs/>
          <w:sz w:val="20"/>
          <w:szCs w:val="20"/>
        </w:rPr>
        <w:t>x</w:t>
      </w:r>
      <w:r>
        <w:rPr>
          <w:rFonts w:ascii="Times New Roman" w:hAnsi="Times New Roman"/>
          <w:i/>
          <w:iCs/>
          <w:sz w:val="20"/>
          <w:szCs w:val="20"/>
          <w:vertAlign w:val="subscript"/>
        </w:rPr>
        <w:t>T</w:t>
      </w:r>
      <w:r>
        <w:rPr>
          <w:rFonts w:ascii="Times New Roman" w:hAnsi="Times New Roman"/>
          <w:i/>
          <w:iCs/>
          <w:sz w:val="20"/>
          <w:szCs w:val="20"/>
        </w:rPr>
        <w:t>,y</w:t>
      </w:r>
      <w:r>
        <w:rPr>
          <w:rFonts w:ascii="Times New Roman" w:hAnsi="Times New Roman"/>
          <w:i/>
          <w:iCs/>
          <w:sz w:val="20"/>
          <w:szCs w:val="20"/>
          <w:vertAlign w:val="subscript"/>
        </w:rPr>
        <w:t>T</w:t>
      </w:r>
      <w:r>
        <w:rPr>
          <w:rFonts w:ascii="Times New Roman" w:hAnsi="Times New Roman"/>
          <w:sz w:val="20"/>
          <w:szCs w:val="20"/>
        </w:rPr>
        <w:t>), (</w:t>
      </w:r>
      <w:r>
        <w:rPr>
          <w:rFonts w:ascii="Times New Roman" w:hAnsi="Times New Roman"/>
          <w:i/>
          <w:iCs/>
          <w:sz w:val="20"/>
          <w:szCs w:val="20"/>
        </w:rPr>
        <w:t>x</w:t>
      </w:r>
      <w:r>
        <w:rPr>
          <w:rFonts w:ascii="Times New Roman" w:hAnsi="Times New Roman"/>
          <w:i/>
          <w:iCs/>
          <w:sz w:val="20"/>
          <w:szCs w:val="20"/>
          <w:vertAlign w:val="subscript"/>
        </w:rPr>
        <w:t>P</w:t>
      </w:r>
      <w:r>
        <w:rPr>
          <w:rFonts w:ascii="Times New Roman" w:hAnsi="Times New Roman"/>
          <w:i/>
          <w:iCs/>
          <w:sz w:val="20"/>
          <w:szCs w:val="20"/>
        </w:rPr>
        <w:t>,y</w:t>
      </w:r>
      <w:r>
        <w:rPr>
          <w:rFonts w:ascii="Times New Roman" w:hAnsi="Times New Roman"/>
          <w:i/>
          <w:iCs/>
          <w:sz w:val="20"/>
          <w:szCs w:val="20"/>
          <w:vertAlign w:val="subscript"/>
        </w:rPr>
        <w:t>P</w:t>
      </w:r>
      <w:r>
        <w:rPr>
          <w:rFonts w:ascii="Times New Roman" w:hAnsi="Times New Roman"/>
          <w:sz w:val="20"/>
          <w:szCs w:val="20"/>
        </w:rPr>
        <w:t xml:space="preserve">) respectively, and the PRS carrier phase measured by PRU is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oMath>
      <w:r>
        <w:rPr>
          <w:rFonts w:ascii="Times New Roman" w:hAnsi="Times New Roman" w:eastAsia="宋体"/>
          <w:color w:val="000000"/>
          <w:sz w:val="20"/>
          <w:szCs w:val="20"/>
          <w:lang w:bidi="ar"/>
        </w:rPr>
        <w:t>, the carrier phase error is Δ</w:t>
      </w:r>
      <m:oMath>
        <m:r>
          <m:rPr>
            <m:sty m:val="p"/>
          </m:rPr>
          <w:rPr>
            <w:rFonts w:ascii="Cambria Math" w:hAnsi="Cambria Math"/>
            <w:color w:val="000000"/>
            <w:sz w:val="20"/>
            <w:szCs w:val="20"/>
            <w:lang w:bidi="ar"/>
          </w:rPr>
          <m:t>φ</m:t>
        </m:r>
      </m:oMath>
      <w:r>
        <w:rPr>
          <w:rFonts w:ascii="Times New Roman" w:hAnsi="Times New Roman"/>
          <w:color w:val="000000"/>
          <w:sz w:val="20"/>
          <w:szCs w:val="20"/>
          <w:lang w:bidi="ar"/>
        </w:rPr>
        <w:t xml:space="preserve">, the distance between TRP and PRU is </w:t>
      </w:r>
    </w:p>
    <w:p>
      <w:pPr>
        <w:adjustRightInd w:val="0"/>
        <w:snapToGrid w:val="0"/>
        <w:spacing w:before="180" w:beforeLines="50" w:after="180" w:afterLines="50" w:line="240" w:lineRule="auto"/>
        <w:jc w:val="center"/>
        <w:rPr>
          <w:rFonts w:ascii="Times New Roman" w:hAnsi="Times New Roman"/>
          <w:color w:val="000000"/>
          <w:sz w:val="20"/>
          <w:szCs w:val="20"/>
          <w:lang w:bidi="ar"/>
        </w:rPr>
      </w:pPr>
      <m:oMath>
        <m:r>
          <m:rPr>
            <m:sty m:val="p"/>
          </m:rPr>
          <w:rPr>
            <w:rFonts w:ascii="Cambria Math" w:hAnsi="Cambria Math" w:eastAsia="宋体"/>
            <w:color w:val="000000"/>
            <w:sz w:val="20"/>
            <w:szCs w:val="20"/>
            <w:lang w:bidi="ar"/>
          </w:rPr>
          <m:t>D=</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T</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T</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+Δ</m:t>
        </m:r>
        <m:r>
          <m:rPr>
            <m:sty m:val="p"/>
          </m:rPr>
          <w:rPr>
            <w:rFonts w:ascii="Cambria Math" w:hAnsi="Cambria Math"/>
            <w:color w:val="000000"/>
            <w:sz w:val="20"/>
            <w:szCs w:val="20"/>
            <w:lang w:bidi="ar"/>
          </w:rPr>
          <m:t>φ</m:t>
        </m:r>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oMath>
      <w:r>
        <w:rPr>
          <w:rFonts w:ascii="Times New Roman" w:hAnsi="Times New Roman"/>
          <w:color w:val="000000"/>
          <w:sz w:val="20"/>
          <w:szCs w:val="20"/>
          <w:lang w:bidi="ar"/>
        </w:rPr>
        <w: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color w:val="000000"/>
          <w:sz w:val="20"/>
          <w:szCs w:val="20"/>
          <w:lang w:bidi="ar"/>
        </w:rPr>
        <w:t>Substituting the known coordinates and measured carrier phase to the above equation, the carrier phase error can be calculated. And the estimated carrier phase error can be reported by PRU</w:t>
      </w:r>
      <w:r>
        <w:rPr>
          <w:rFonts w:hint="eastAsia" w:ascii="Times New Roman" w:hAnsi="Times New Roman"/>
          <w:color w:val="000000"/>
          <w:sz w:val="20"/>
          <w:szCs w:val="20"/>
          <w:lang w:bidi="ar"/>
        </w:rPr>
        <w:t xml:space="preserve"> to LMF</w:t>
      </w:r>
      <w:r>
        <w:rPr>
          <w:rFonts w:ascii="Times New Roman" w:hAnsi="Times New Roman"/>
          <w:color w:val="000000"/>
          <w:sz w:val="20"/>
          <w:szCs w:val="20"/>
          <w:lang w:bidi="ar"/>
        </w:rPr>
        <w:t>.</w:t>
      </w:r>
    </w:p>
    <w:p>
      <w:pPr>
        <w:pStyle w:val="13"/>
        <w:adjustRightInd w:val="0"/>
        <w:snapToGrid w:val="0"/>
        <w:spacing w:before="180" w:beforeLines="50" w:after="180" w:afterLines="50"/>
        <w:jc w:val="both"/>
        <w:rPr>
          <w:rFonts w:eastAsia="宋体"/>
          <w:i/>
          <w:lang w:val="en-US" w:eastAsia="zh-CN"/>
        </w:rPr>
      </w:pPr>
      <w:bookmarkStart w:id="18" w:name="_Ref12108"/>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7</w:t>
      </w:r>
      <w:r>
        <w:rPr>
          <w:rFonts w:eastAsia="宋体"/>
          <w:i/>
        </w:rPr>
        <w:fldChar w:fldCharType="end"/>
      </w:r>
      <w:r>
        <w:rPr>
          <w:rFonts w:eastAsia="宋体"/>
          <w:i/>
        </w:rPr>
        <w:t>:</w:t>
      </w:r>
      <w:r>
        <w:rPr>
          <w:rFonts w:eastAsia="宋体"/>
          <w:i/>
          <w:lang w:val="en-US" w:eastAsia="zh-CN"/>
        </w:rPr>
        <w:t xml:space="preserve"> For UE-based carrier phase positioning, the carrier phase error can be reported by PRU</w:t>
      </w:r>
      <w:r>
        <w:rPr>
          <w:rFonts w:hint="eastAsia" w:eastAsia="宋体"/>
          <w:i/>
          <w:lang w:val="en-US" w:eastAsia="zh-CN"/>
        </w:rPr>
        <w:t xml:space="preserve"> to LMF</w:t>
      </w:r>
      <w:r>
        <w:rPr>
          <w:rFonts w:eastAsia="宋体"/>
          <w:i/>
          <w:lang w:val="en-US" w:eastAsia="zh-CN"/>
        </w:rPr>
        <w:t>.</w:t>
      </w:r>
      <w:bookmarkEnd w:id="18"/>
    </w:p>
    <w:p>
      <w:pPr>
        <w:pStyle w:val="95"/>
        <w:snapToGrid w:val="0"/>
        <w:spacing w:before="180" w:beforeLines="50" w:afterLines="50" w:line="240" w:lineRule="auto"/>
        <w:ind w:left="0"/>
        <w:jc w:val="both"/>
        <w:rPr>
          <w:rFonts w:eastAsia="MS Mincho"/>
          <w:bCs/>
          <w:sz w:val="20"/>
          <w:szCs w:val="24"/>
          <w:lang w:eastAsia="zh-CN"/>
        </w:rPr>
      </w:pPr>
      <w:r>
        <w:rPr>
          <w:rFonts w:hint="eastAsia" w:eastAsia="MS Mincho"/>
          <w:bCs/>
          <w:sz w:val="20"/>
          <w:szCs w:val="24"/>
          <w:lang w:eastAsia="zh-CN"/>
        </w:rPr>
        <w:t>In our previous contributions [4,5], it is proved that single/dual differential technique with PRU can improve the positioning accuracy in carrier phase positioning. And the previous discussion in RAN1 meetings demonstrated that the use of PRU in carrier phase positioning is beneficial for both UE-based and UE-assisted NR carrier phase positioning. If PRU is adopted in a positioning process, PRU should report the carrier phase measurement results to LMF. But for UE-based carrier phase positioning, all of the measurement results should be collected by UE. Therefore, LMF can forward the PRU carrier phase measurement results to UE for further location estimation. Hence, we have the following proposal:</w:t>
      </w:r>
    </w:p>
    <w:p>
      <w:pPr>
        <w:pStyle w:val="13"/>
        <w:adjustRightInd w:val="0"/>
        <w:snapToGrid w:val="0"/>
        <w:spacing w:before="180" w:beforeLines="50" w:after="180" w:afterLines="50"/>
        <w:jc w:val="both"/>
        <w:rPr>
          <w:rFonts w:eastAsia="宋体"/>
          <w:i/>
          <w:lang w:val="en-US" w:eastAsia="zh-CN"/>
        </w:rPr>
      </w:pPr>
      <w:bookmarkStart w:id="19" w:name="_Ref18323"/>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8</w:t>
      </w:r>
      <w:r>
        <w:rPr>
          <w:rFonts w:eastAsia="宋体"/>
          <w:i/>
        </w:rPr>
        <w:fldChar w:fldCharType="end"/>
      </w:r>
      <w:r>
        <w:rPr>
          <w:rFonts w:eastAsia="宋体"/>
          <w:i/>
        </w:rPr>
        <w:t>:</w:t>
      </w:r>
      <w:r>
        <w:rPr>
          <w:rFonts w:eastAsia="宋体"/>
          <w:i/>
          <w:lang w:val="en-US" w:eastAsia="zh-CN"/>
        </w:rPr>
        <w:t xml:space="preserve"> For UE-based carrier phase positioning, </w:t>
      </w:r>
      <w:r>
        <w:rPr>
          <w:rFonts w:hint="eastAsia" w:eastAsia="宋体"/>
          <w:i/>
          <w:lang w:val="en-US" w:eastAsia="zh-CN"/>
        </w:rPr>
        <w:t>support LMF forwarding the carrier phase measurement results of the PRU to the target UE.</w:t>
      </w:r>
      <w:bookmarkEnd w:id="19"/>
    </w:p>
    <w:p>
      <w:pPr>
        <w:pStyle w:val="3"/>
        <w:snapToGrid w:val="0"/>
        <w:spacing w:line="240" w:lineRule="auto"/>
        <w:rPr>
          <w:sz w:val="24"/>
          <w:szCs w:val="24"/>
        </w:rPr>
      </w:pPr>
      <w:r>
        <w:rPr>
          <w:rFonts w:hint="eastAsia"/>
          <w:sz w:val="24"/>
          <w:szCs w:val="24"/>
        </w:rPr>
        <w:t>Multiple sub-carrier</w:t>
      </w:r>
      <w:r>
        <w:rPr>
          <w:rFonts w:hint="eastAsia"/>
          <w:sz w:val="24"/>
          <w:szCs w:val="24"/>
          <w:lang w:val="en-US"/>
        </w:rPr>
        <w:t>s</w:t>
      </w:r>
      <w:r>
        <w:rPr>
          <w:rFonts w:hint="eastAsia"/>
          <w:sz w:val="24"/>
          <w:szCs w:val="24"/>
        </w:rPr>
        <w:t xml:space="preserve"> phase measurement</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described in our previous contributions [4,5], the carrier phase estimation error, PCO, ARP error, etc., may affect the carrier phase positioning accuracy. Single carrier phase measurement may result in some accidental errors/positioning errors, further deteriorating the positioning performance. The simulation results in our previous contributions show that reporting the carrier phase measurement result from multiple sub-carriers in one carrier/PFL can improve performance compared with TDOA concerning the initial random phase. And dual differential carrier phase can mitigate the positioning side effects brought by ARP error. All of these verified that multiple-phase measurement is beneficial for improving positioning accuracy.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another perspective, in the carrier phase positioning procedure, e</w:t>
      </w:r>
      <w:r>
        <w:rPr>
          <w:rFonts w:ascii="Times New Roman" w:hAnsi="Times New Roman"/>
          <w:sz w:val="20"/>
          <w:szCs w:val="20"/>
        </w:rPr>
        <w:t xml:space="preserve">ach sub-carrier has its own carrier phase (Φ, fractional part). The </w:t>
      </w:r>
      <w:r>
        <w:rPr>
          <w:rFonts w:hint="eastAsia" w:ascii="Times New Roman" w:hAnsi="Times New Roman"/>
          <w:sz w:val="20"/>
          <w:szCs w:val="20"/>
        </w:rPr>
        <w:t xml:space="preserve">carrier phase </w:t>
      </w:r>
      <w:r>
        <w:rPr>
          <w:rFonts w:ascii="Times New Roman" w:hAnsi="Times New Roman"/>
          <w:sz w:val="20"/>
          <w:szCs w:val="20"/>
        </w:rPr>
        <w:t>of the cent</w:t>
      </w:r>
      <w:r>
        <w:rPr>
          <w:rFonts w:hint="eastAsia" w:ascii="Times New Roman" w:hAnsi="Times New Roman"/>
          <w:sz w:val="20"/>
          <w:szCs w:val="20"/>
        </w:rPr>
        <w:t>re</w:t>
      </w:r>
      <w:r>
        <w:rPr>
          <w:rFonts w:ascii="Times New Roman" w:hAnsi="Times New Roman"/>
          <w:sz w:val="20"/>
          <w:szCs w:val="20"/>
        </w:rPr>
        <w:t xml:space="preserve"> sub-carrier </w:t>
      </w:r>
      <w:r>
        <w:rPr>
          <w:rFonts w:hint="eastAsia" w:ascii="Times New Roman" w:hAnsi="Times New Roman"/>
          <w:sz w:val="20"/>
          <w:szCs w:val="20"/>
        </w:rPr>
        <w:t xml:space="preserve">could </w:t>
      </w:r>
      <w:r>
        <w:rPr>
          <w:rFonts w:ascii="Times New Roman" w:hAnsi="Times New Roman"/>
          <w:sz w:val="20"/>
          <w:szCs w:val="20"/>
        </w:rPr>
        <w:t xml:space="preserve">represent </w:t>
      </w:r>
      <w:r>
        <w:rPr>
          <w:rFonts w:hint="eastAsia" w:ascii="Times New Roman" w:hAnsi="Times New Roman"/>
          <w:sz w:val="20"/>
          <w:szCs w:val="20"/>
        </w:rPr>
        <w:t xml:space="preserve">the carrier phase </w:t>
      </w:r>
      <w:r>
        <w:rPr>
          <w:rFonts w:ascii="Times New Roman" w:hAnsi="Times New Roman"/>
          <w:sz w:val="20"/>
          <w:szCs w:val="20"/>
        </w:rPr>
        <w:t>of the whole carrier</w:t>
      </w:r>
      <w:r>
        <w:rPr>
          <w:rFonts w:hint="eastAsia" w:ascii="Times New Roman" w:hAnsi="Times New Roman"/>
          <w:sz w:val="20"/>
          <w:szCs w:val="20"/>
        </w:rPr>
        <w:t>/PFL</w:t>
      </w:r>
      <w:r>
        <w:rPr>
          <w:rFonts w:ascii="Times New Roman" w:hAnsi="Times New Roman"/>
          <w:sz w:val="20"/>
          <w:szCs w:val="20"/>
        </w:rPr>
        <w:t>.</w:t>
      </w:r>
      <w:r>
        <w:rPr>
          <w:rFonts w:hint="eastAsia" w:ascii="Times New Roman" w:hAnsi="Times New Roman"/>
          <w:sz w:val="20"/>
          <w:szCs w:val="20"/>
        </w:rPr>
        <w:t xml:space="preserve"> To support multiple sub-carrier phase measurements, a</w:t>
      </w:r>
      <w:r>
        <w:rPr>
          <w:rFonts w:ascii="Times New Roman" w:hAnsi="Times New Roman"/>
          <w:sz w:val="20"/>
          <w:szCs w:val="20"/>
        </w:rPr>
        <w:t xml:space="preserve"> </w:t>
      </w:r>
      <w:r>
        <w:rPr>
          <w:rFonts w:hint="eastAsia" w:ascii="Times New Roman" w:hAnsi="Times New Roman"/>
          <w:sz w:val="20"/>
          <w:szCs w:val="20"/>
        </w:rPr>
        <w:t xml:space="preserve">positioning carrier/PFL </w:t>
      </w:r>
      <w:r>
        <w:rPr>
          <w:rFonts w:ascii="Times New Roman" w:hAnsi="Times New Roman"/>
          <w:sz w:val="20"/>
          <w:szCs w:val="20"/>
        </w:rPr>
        <w:t xml:space="preserve">can be divided into several </w:t>
      </w:r>
      <w:r>
        <w:rPr>
          <w:rFonts w:hint="eastAsia" w:ascii="Times New Roman" w:hAnsi="Times New Roman"/>
          <w:sz w:val="20"/>
          <w:szCs w:val="20"/>
        </w:rPr>
        <w:t>segments, and e</w:t>
      </w:r>
      <w:r>
        <w:rPr>
          <w:rFonts w:ascii="Times New Roman" w:hAnsi="Times New Roman"/>
          <w:sz w:val="20"/>
          <w:szCs w:val="20"/>
        </w:rPr>
        <w:t xml:space="preserve">ach </w:t>
      </w:r>
      <w:r>
        <w:rPr>
          <w:rFonts w:hint="eastAsia" w:ascii="Times New Roman" w:hAnsi="Times New Roman"/>
          <w:sz w:val="20"/>
          <w:szCs w:val="20"/>
        </w:rPr>
        <w:t xml:space="preserve">segment could </w:t>
      </w:r>
      <w:r>
        <w:rPr>
          <w:rFonts w:ascii="Times New Roman" w:hAnsi="Times New Roman"/>
          <w:sz w:val="20"/>
          <w:szCs w:val="20"/>
        </w:rPr>
        <w:t xml:space="preserve">have its own carrier phase. </w:t>
      </w:r>
      <w:r>
        <w:rPr>
          <w:rFonts w:hint="eastAsia" w:ascii="Times New Roman" w:hAnsi="Times New Roman"/>
          <w:sz w:val="20"/>
          <w:szCs w:val="20"/>
        </w:rPr>
        <w:t>Through the theoretical analysis in [5], it can be observed t</w:t>
      </w:r>
      <w:r>
        <w:rPr>
          <w:rFonts w:hint="eastAsia" w:ascii="Times New Roman" w:hAnsi="Times New Roman" w:eastAsia="宋体"/>
          <w:sz w:val="20"/>
          <w:szCs w:val="20"/>
        </w:rPr>
        <w:t>hat the carrier phas</w:t>
      </w:r>
      <w:r>
        <w:rPr>
          <w:rFonts w:hint="eastAsia" w:ascii="Times New Roman" w:hAnsi="Times New Roman"/>
          <w:sz w:val="20"/>
          <w:szCs w:val="20"/>
        </w:rPr>
        <w:t xml:space="preserve">e error from two frequency segments could be removed. The scope of integer searching with differential carrier phase(s), i.e., using virtual wavelength, can be minimized (or </w:t>
      </w:r>
      <w:r>
        <w:rPr>
          <w:rFonts w:hint="eastAsia" w:ascii="Times New Roman" w:hAnsi="Times New Roman"/>
          <w:sz w:val="20"/>
          <w:szCs w:val="20"/>
          <w:lang w:val="en-US" w:eastAsia="zh-CN"/>
        </w:rPr>
        <w:t xml:space="preserve">even </w:t>
      </w:r>
      <w:r>
        <w:rPr>
          <w:rFonts w:hint="eastAsia" w:ascii="Times New Roman" w:hAnsi="Times New Roman"/>
          <w:sz w:val="20"/>
          <w:szCs w:val="20"/>
        </w:rPr>
        <w:t>be zero), which will reduce the computation complexity of location de-composition. As shown in the following figure, if we divide a PFL into 2 sub-PFL, the corresponding location estimation can be determined as follows:</w:t>
      </w:r>
    </w:p>
    <w:p>
      <w:pPr>
        <w:autoSpaceDE w:val="0"/>
        <w:autoSpaceDN w:val="0"/>
        <w:adjustRightInd w:val="0"/>
        <w:snapToGrid w:val="0"/>
        <w:spacing w:before="180" w:beforeLines="50" w:after="180" w:afterLines="50"/>
        <w:jc w:val="center"/>
      </w:pPr>
      <w:r>
        <w:pict>
          <v:shape id="_x0000_i1025" o:spt="75" type="#_x0000_t75" style="height:105pt;width:214.9pt;" filled="f" o:preferrelative="t" stroked="f" coordsize="21600,21600">
            <v:path/>
            <v:fill on="f" focussize="0,0"/>
            <v:stroke on="f" joinstyle="miter"/>
            <v:imagedata r:id="rId11" o:title=""/>
            <o:lock v:ext="edit" aspectratio="t"/>
            <w10:wrap type="none"/>
            <w10:anchorlock/>
          </v:shape>
        </w:pict>
      </w:r>
    </w:p>
    <w:p>
      <w:pPr>
        <w:widowControl w:val="0"/>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 xml:space="preserve">. </w:t>
      </w:r>
      <w:r>
        <w:rPr>
          <w:rFonts w:hint="eastAsia" w:ascii="Times New Roman" w:hAnsi="Times New Roman"/>
          <w:sz w:val="20"/>
          <w:szCs w:val="20"/>
        </w:rPr>
        <w:t xml:space="preserve">Definition of virtual wavelength </w:t>
      </w:r>
    </w:p>
    <w:p>
      <w:pPr>
        <w:snapToGrid w:val="0"/>
        <w:spacing w:before="180" w:beforeLines="50" w:after="180" w:afterLines="50"/>
        <w:jc w:val="center"/>
        <w:rPr>
          <w:sz w:val="20"/>
          <w:szCs w:val="20"/>
        </w:rPr>
      </w:pPr>
      <w:r>
        <w:rPr>
          <w:position w:val="-14"/>
        </w:rPr>
        <w:object>
          <v:shape id="_x0000_i1026" o:spt="75" type="#_x0000_t75" style="height:18.75pt;width:193.1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5" r:id="rId12">
            <o:LockedField>false</o:LockedField>
          </o:OLEObject>
        </w:object>
      </w:r>
      <w:r>
        <w:rPr>
          <w:rFonts w:hint="eastAsia"/>
        </w:rPr>
        <w:t xml:space="preserve">                          </w:t>
      </w:r>
      <w:r>
        <w:rPr>
          <w:rFonts w:eastAsia="宋体"/>
          <w:sz w:val="20"/>
          <w:szCs w:val="20"/>
        </w:rPr>
        <w:t xml:space="preserve"> </w:t>
      </w:r>
      <w:r>
        <w:rPr>
          <w:position w:val="-14"/>
        </w:rPr>
        <w:object>
          <v:shape id="_x0000_i1027" o:spt="75" type="#_x0000_t75" style="height:18.75pt;width:19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6" r:id="rId14">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λ is the wavelength of the radio signal, Φ is the fractional part of carrier phase estimation, Φ</w:t>
      </w:r>
      <w:r>
        <w:rPr>
          <w:rFonts w:hint="eastAsia" w:ascii="Times New Roman" w:hAnsi="Times New Roman"/>
          <w:sz w:val="20"/>
          <w:szCs w:val="20"/>
          <w:vertAlign w:val="subscript"/>
        </w:rPr>
        <w:t>Drift</w:t>
      </w:r>
      <w:r>
        <w:rPr>
          <w:rFonts w:hint="eastAsia" w:ascii="Times New Roman" w:hAnsi="Times New Roman"/>
          <w:sz w:val="20"/>
          <w:szCs w:val="20"/>
        </w:rPr>
        <w:t xml:space="preserve"> is the carrier phase error, N is the integer part of carrier phase, d is the real distance between UE and gNB (LOS distance). Combining these two equations, we have:</w:t>
      </w:r>
    </w:p>
    <w:p>
      <w:pPr>
        <w:autoSpaceDE w:val="0"/>
        <w:autoSpaceDN w:val="0"/>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object>
          <v:shape id="_x0000_i1028" o:spt="75" type="#_x0000_t75" style="height:17.65pt;width:202.9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7" r:id="rId16">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the above equation is multiplied by a virtual wavelength </w:t>
      </w:r>
      <m:oMath>
        <m:sSub>
          <m:sSubPr>
            <m:ctrlPr>
              <w:rPr>
                <w:rFonts w:hint="eastAsia" w:ascii="Cambria Math" w:hAnsi="Cambria Math"/>
                <w:sz w:val="20"/>
                <w:szCs w:val="20"/>
              </w:rPr>
            </m:ctrlPr>
          </m:sSubPr>
          <m:e>
            <m:r>
              <m:rPr>
                <m:sty m:val="p"/>
              </m:rPr>
              <w:rPr>
                <w:rFonts w:hint="eastAsia" w:ascii="Cambria Math" w:hAnsi="Cambria Math"/>
                <w:sz w:val="20"/>
                <w:szCs w:val="20"/>
              </w:rPr>
              <m:t>λ</m:t>
            </m:r>
            <m:ctrlPr>
              <w:rPr>
                <w:rFonts w:hint="eastAsia" w:ascii="Cambria Math" w:hAnsi="Cambria Math"/>
                <w:sz w:val="20"/>
                <w:szCs w:val="20"/>
              </w:rPr>
            </m:ctrlPr>
          </m:e>
          <m:sub>
            <m:r>
              <m:rPr>
                <m:sty m:val="p"/>
              </m:rPr>
              <w:rPr>
                <w:rFonts w:hint="eastAsia" w:ascii="Cambria Math" w:hAnsi="Cambria Math"/>
                <w:sz w:val="20"/>
                <w:szCs w:val="20"/>
              </w:rPr>
              <m:t>v</m:t>
            </m:r>
            <m:ctrlPr>
              <w:rPr>
                <w:rFonts w:hint="eastAsia" w:ascii="Cambria Math" w:hAnsi="Cambria Math"/>
                <w:sz w:val="20"/>
                <w:szCs w:val="20"/>
              </w:rPr>
            </m:ctrlPr>
          </m:sub>
        </m:sSub>
        <m:r>
          <m:rPr>
            <m:sty m:val="p"/>
          </m:rPr>
          <w:rPr>
            <w:rFonts w:hint="eastAsia" w:ascii="Cambria Math" w:hAnsi="Cambria Math"/>
            <w:sz w:val="20"/>
            <w:szCs w:val="20"/>
          </w:rPr>
          <m:t>=1/(1/</m:t>
        </m:r>
        <m:sSub>
          <m:sSubPr>
            <m:ctrlPr>
              <w:rPr>
                <w:rFonts w:hint="eastAsia" w:ascii="Cambria Math" w:hAnsi="Cambria Math"/>
                <w:sz w:val="20"/>
                <w:szCs w:val="20"/>
              </w:rPr>
            </m:ctrlPr>
          </m:sSubPr>
          <m:e>
            <m:r>
              <m:rPr>
                <m:sty m:val="p"/>
              </m:rPr>
              <w:rPr>
                <w:rFonts w:hint="eastAsia" w:ascii="Cambria Math" w:hAnsi="Cambria Math"/>
                <w:sz w:val="20"/>
                <w:szCs w:val="20"/>
              </w:rPr>
              <m:t>λ</m:t>
            </m:r>
            <m:ctrlPr>
              <w:rPr>
                <w:rFonts w:hint="eastAsia" w:ascii="Cambria Math" w:hAnsi="Cambria Math"/>
                <w:sz w:val="20"/>
                <w:szCs w:val="20"/>
              </w:rPr>
            </m:ctrlPr>
          </m:e>
          <m:sub>
            <m:r>
              <m:rPr>
                <m:sty m:val="p"/>
              </m:rPr>
              <w:rPr>
                <w:rFonts w:hint="eastAsia" w:ascii="Cambria Math" w:hAnsi="Cambria Math"/>
                <w:sz w:val="20"/>
                <w:szCs w:val="20"/>
              </w:rPr>
              <m:t>2</m:t>
            </m:r>
            <m:ctrlPr>
              <w:rPr>
                <w:rFonts w:hint="eastAsia" w:ascii="Cambria Math" w:hAnsi="Cambria Math"/>
                <w:sz w:val="20"/>
                <w:szCs w:val="20"/>
              </w:rPr>
            </m:ctrlPr>
          </m:sub>
        </m:sSub>
        <m:r>
          <m:rPr>
            <m:sty m:val="p"/>
          </m:rPr>
          <w:rPr>
            <w:rFonts w:hint="eastAsia" w:ascii="Cambria Math" w:hAnsi="Cambria Math"/>
            <w:sz w:val="20"/>
            <w:szCs w:val="20"/>
          </w:rPr>
          <m:t>−1/</m:t>
        </m:r>
        <m:sSub>
          <m:sSubPr>
            <m:ctrlPr>
              <w:rPr>
                <w:rFonts w:hint="eastAsia" w:ascii="Cambria Math" w:hAnsi="Cambria Math"/>
                <w:sz w:val="20"/>
                <w:szCs w:val="20"/>
              </w:rPr>
            </m:ctrlPr>
          </m:sSubPr>
          <m:e>
            <m:r>
              <m:rPr>
                <m:sty m:val="p"/>
              </m:rPr>
              <w:rPr>
                <w:rFonts w:hint="eastAsia" w:ascii="Cambria Math" w:hAnsi="Cambria Math"/>
                <w:sz w:val="20"/>
                <w:szCs w:val="20"/>
              </w:rPr>
              <m:t>λ</m:t>
            </m:r>
            <m:ctrlPr>
              <w:rPr>
                <w:rFonts w:hint="eastAsia" w:ascii="Cambria Math" w:hAnsi="Cambria Math"/>
                <w:sz w:val="20"/>
                <w:szCs w:val="20"/>
              </w:rPr>
            </m:ctrlPr>
          </m:e>
          <m:sub>
            <m:r>
              <m:rPr>
                <m:sty m:val="p"/>
              </m:rPr>
              <w:rPr>
                <w:rFonts w:hint="eastAsia" w:ascii="Cambria Math" w:hAnsi="Cambria Math"/>
                <w:sz w:val="20"/>
                <w:szCs w:val="20"/>
              </w:rPr>
              <m:t>1</m:t>
            </m:r>
            <m:ctrlPr>
              <w:rPr>
                <w:rFonts w:hint="eastAsia" w:ascii="Cambria Math" w:hAnsi="Cambria Math"/>
                <w:sz w:val="20"/>
                <w:szCs w:val="20"/>
              </w:rPr>
            </m:ctrlPr>
          </m:sub>
        </m:sSub>
        <m:r>
          <m:rPr>
            <m:sty m:val="p"/>
          </m:rPr>
          <w:rPr>
            <w:rFonts w:hint="eastAsia" w:ascii="Cambria Math" w:hAnsi="Cambria Math"/>
            <w:sz w:val="20"/>
            <w:szCs w:val="20"/>
          </w:rPr>
          <m:t>)</m:t>
        </m:r>
      </m:oMath>
      <w:r>
        <w:rPr>
          <w:rFonts w:hint="eastAsia" w:ascii="Times New Roman" w:hAnsi="Times New Roman"/>
          <w:sz w:val="20"/>
          <w:szCs w:val="20"/>
        </w:rPr>
        <w:t xml:space="preserve"> , there will be</w:t>
      </w:r>
    </w:p>
    <w:p>
      <w:pPr>
        <w:autoSpaceDE w:val="0"/>
        <w:autoSpaceDN w:val="0"/>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object>
          <v:shape id="_x0000_i1029" o:spt="75" type="#_x0000_t75" style="height:17.65pt;width:154.9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8" r:id="rId18">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Where, the ΔΦ=Φ</w:t>
      </w:r>
      <w:r>
        <w:rPr>
          <w:rFonts w:hint="eastAsia" w:ascii="Times New Roman" w:hAnsi="Times New Roman"/>
          <w:sz w:val="20"/>
          <w:szCs w:val="20"/>
          <w:vertAlign w:val="subscript"/>
        </w:rPr>
        <w:t>2</w:t>
      </w:r>
      <w:r>
        <w:rPr>
          <w:rFonts w:hint="eastAsia" w:ascii="Times New Roman" w:hAnsi="Times New Roman"/>
          <w:sz w:val="20"/>
          <w:szCs w:val="20"/>
        </w:rPr>
        <w:t>-Φ</w:t>
      </w:r>
      <w:r>
        <w:rPr>
          <w:rFonts w:hint="eastAsia" w:ascii="Times New Roman" w:hAnsi="Times New Roman"/>
          <w:sz w:val="20"/>
          <w:szCs w:val="20"/>
          <w:vertAlign w:val="subscript"/>
        </w:rPr>
        <w:t>1</w:t>
      </w:r>
      <w:r>
        <w:rPr>
          <w:rFonts w:hint="eastAsia" w:ascii="Times New Roman" w:hAnsi="Times New Roman"/>
          <w:sz w:val="20"/>
          <w:szCs w:val="20"/>
        </w:rPr>
        <w:t>, ΔN=N</w:t>
      </w:r>
      <w:r>
        <w:rPr>
          <w:rFonts w:hint="eastAsia" w:ascii="Times New Roman" w:hAnsi="Times New Roman"/>
          <w:sz w:val="20"/>
          <w:szCs w:val="20"/>
          <w:vertAlign w:val="subscript"/>
        </w:rPr>
        <w:t>2</w:t>
      </w:r>
      <w:r>
        <w:rPr>
          <w:rFonts w:hint="eastAsia" w:ascii="Times New Roman" w:hAnsi="Times New Roman"/>
          <w:sz w:val="20"/>
          <w:szCs w:val="20"/>
        </w:rPr>
        <w:t>-N</w:t>
      </w:r>
      <w:r>
        <w:rPr>
          <w:rFonts w:hint="eastAsia" w:ascii="Times New Roman" w:hAnsi="Times New Roman"/>
          <w:sz w:val="20"/>
          <w:szCs w:val="20"/>
          <w:vertAlign w:val="subscript"/>
        </w:rPr>
        <w:t>1</w:t>
      </w:r>
      <w:r>
        <w:rPr>
          <w:rFonts w:hint="eastAsia" w:ascii="Times New Roman" w:hAnsi="Times New Roman"/>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It can be observed that the carrier phase error (Φ</w:t>
      </w:r>
      <w:r>
        <w:rPr>
          <w:rFonts w:hint="eastAsia" w:ascii="Times New Roman" w:hAnsi="Times New Roman"/>
          <w:sz w:val="20"/>
          <w:szCs w:val="20"/>
          <w:vertAlign w:val="subscript"/>
        </w:rPr>
        <w:t>Drift</w:t>
      </w:r>
      <w:r>
        <w:rPr>
          <w:rFonts w:hint="eastAsia" w:ascii="Times New Roman" w:hAnsi="Times New Roman"/>
          <w:sz w:val="20"/>
          <w:szCs w:val="20"/>
        </w:rPr>
        <w:t xml:space="preserve">) from two frequency sections in one carrier within one site (or one gNB) is removed by a single difference. And also, if the frequency difference of two sub-carriers is small enough, the scope of integer searching with differential carrier phase(s) ΔN can be minimized (or be zero). The computational complexity can be minimized. To realize carrier phase positioning with the help of multiple frequency segments, the center frequency and corresponding phase of different carrier segments need to be reported. </w:t>
      </w:r>
      <w:r>
        <w:rPr>
          <w:rFonts w:ascii="Times New Roman" w:hAnsi="Times New Roman"/>
          <w:sz w:val="20"/>
          <w:szCs w:val="20"/>
        </w:rPr>
        <w:t>Hence, we have the following proposal</w:t>
      </w:r>
      <w:r>
        <w:rPr>
          <w:rFonts w:hint="eastAsia" w:ascii="Times New Roman" w:hAnsi="Times New Roman"/>
          <w:sz w:val="20"/>
          <w:szCs w:val="20"/>
        </w:rPr>
        <w:t xml:space="preserve">. </w:t>
      </w:r>
    </w:p>
    <w:p>
      <w:pPr>
        <w:widowControl w:val="0"/>
        <w:snapToGrid w:val="0"/>
        <w:spacing w:after="0" w:line="240" w:lineRule="auto"/>
        <w:jc w:val="both"/>
        <w:rPr>
          <w:rFonts w:ascii="Times New Roman" w:hAnsi="Times New Roman"/>
          <w:b/>
          <w:bCs/>
          <w:i/>
          <w:iCs/>
          <w:sz w:val="20"/>
          <w:szCs w:val="20"/>
        </w:rPr>
      </w:pPr>
      <w:bookmarkStart w:id="20" w:name="_Ref31713"/>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9</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hint="eastAsia" w:ascii="Times New Roman" w:hAnsi="Times New Roman"/>
          <w:b/>
          <w:bCs/>
          <w:i/>
          <w:iCs/>
          <w:sz w:val="20"/>
          <w:szCs w:val="20"/>
        </w:rPr>
        <w:t>Support measuring and reporting the carrier phase of multiple sub-carriers/segments in one carrier/PFL</w:t>
      </w:r>
      <w:bookmarkEnd w:id="20"/>
      <w:r>
        <w:rPr>
          <w:rFonts w:hint="eastAsia" w:ascii="Times New Roman" w:hAnsi="Times New Roman"/>
          <w:b/>
          <w:bCs/>
          <w:i/>
          <w:iCs/>
          <w:sz w:val="20"/>
          <w:szCs w:val="20"/>
        </w:rPr>
        <w:t xml:space="preserve">. </w:t>
      </w:r>
    </w:p>
    <w:p>
      <w:pPr>
        <w:widowControl w:val="0"/>
        <w:snapToGrid w:val="0"/>
        <w:spacing w:after="0" w:line="240" w:lineRule="auto"/>
        <w:ind w:firstLine="720"/>
        <w:jc w:val="both"/>
        <w:rPr>
          <w:rFonts w:ascii="Times New Roman" w:hAnsi="Times New Roman"/>
          <w:b/>
          <w:bCs/>
          <w:i/>
          <w:iCs/>
          <w:sz w:val="20"/>
          <w:szCs w:val="20"/>
        </w:rPr>
      </w:pPr>
      <w:r>
        <w:rPr>
          <w:rFonts w:hint="eastAsia" w:ascii="Times New Roman" w:hAnsi="Times New Roman"/>
          <w:b/>
          <w:bCs/>
          <w:i/>
          <w:iCs/>
          <w:sz w:val="20"/>
          <w:szCs w:val="20"/>
        </w:rPr>
        <w:t xml:space="preserve">- </w:t>
      </w:r>
      <w:r>
        <w:rPr>
          <w:rFonts w:ascii="Times New Roman" w:hAnsi="Times New Roman"/>
          <w:b/>
          <w:bCs/>
          <w:i/>
          <w:iCs/>
          <w:sz w:val="20"/>
          <w:szCs w:val="20"/>
        </w:rPr>
        <w:t>center frequency or λ should be informed for each selected sub-carrier/segment</w:t>
      </w:r>
      <w:r>
        <w:rPr>
          <w:rFonts w:hint="eastAsia" w:ascii="Times New Roman" w:hAnsi="Times New Roman"/>
          <w:b/>
          <w:bCs/>
          <w:i/>
          <w:iCs/>
          <w:sz w:val="20"/>
          <w:szCs w:val="20"/>
        </w:rPr>
        <w:t>.</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Regarding the multiple sub-carriers phase measurement problem</w:t>
      </w:r>
      <w:r>
        <w:rPr>
          <w:rFonts w:ascii="Times New Roman" w:hAnsi="Times New Roman" w:eastAsia="宋体"/>
          <w:sz w:val="20"/>
          <w:szCs w:val="20"/>
        </w:rPr>
        <w:t xml:space="preserve">, the following </w:t>
      </w:r>
      <w:r>
        <w:rPr>
          <w:rFonts w:hint="eastAsia" w:ascii="Times New Roman" w:hAnsi="Times New Roman" w:eastAsia="宋体"/>
          <w:sz w:val="20"/>
          <w:szCs w:val="20"/>
        </w:rPr>
        <w:t>agreement was achieved [2] (there was no agreement in 3GPP TSG RAN WG1#112bis-e, further discussion is required):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bCs/>
                <w:sz w:val="20"/>
                <w:szCs w:val="20"/>
              </w:rPr>
            </w:pPr>
            <w:r>
              <w:rPr>
                <w:rFonts w:ascii="Times New Roman" w:hAnsi="Times New Roman"/>
                <w:bCs/>
                <w:sz w:val="20"/>
                <w:szCs w:val="20"/>
              </w:rPr>
              <w:t>To support NR carrier phase positioning, further consider the following</w:t>
            </w:r>
            <w:r>
              <w:rPr>
                <w:rFonts w:ascii="Times New Roman" w:hAnsi="Times New Roman"/>
                <w:sz w:val="20"/>
                <w:szCs w:val="20"/>
              </w:rPr>
              <w:t xml:space="preserve"> options:</w:t>
            </w:r>
          </w:p>
          <w:p>
            <w:pPr>
              <w:pStyle w:val="85"/>
              <w:numPr>
                <w:ilvl w:val="0"/>
                <w:numId w:val="6"/>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1: Support a UE/TRP to report the carrier phase measurements of more than one frequency within a PFL/carrier to LMF</w:t>
            </w:r>
          </w:p>
          <w:p>
            <w:pPr>
              <w:pStyle w:val="80"/>
              <w:numPr>
                <w:ilvl w:val="1"/>
                <w:numId w:val="6"/>
              </w:numPr>
              <w:adjustRightInd w:val="0"/>
              <w:snapToGrid w:val="0"/>
              <w:spacing w:afterLines="50"/>
            </w:pPr>
            <w:r>
              <w:t>NOTE: the frequency can be the carrier frequency or the frequency of a subcarrier</w:t>
            </w:r>
          </w:p>
          <w:p>
            <w:pPr>
              <w:pStyle w:val="80"/>
              <w:numPr>
                <w:ilvl w:val="1"/>
                <w:numId w:val="6"/>
              </w:numPr>
              <w:adjustRightInd w:val="0"/>
              <w:snapToGrid w:val="0"/>
              <w:spacing w:afterLines="50"/>
            </w:pPr>
            <w:r>
              <w:t>FFS: the details of reporting, e.g., the maximum number of reported frequencies within a PFL/ carrier</w:t>
            </w:r>
          </w:p>
          <w:p>
            <w:pPr>
              <w:pStyle w:val="85"/>
              <w:numPr>
                <w:ilvl w:val="0"/>
                <w:numId w:val="6"/>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2: Introduce and report a</w:t>
            </w:r>
            <w:r>
              <w:rPr>
                <w:rFonts w:ascii="Times New Roman" w:hAnsi="Times New Roman" w:eastAsia="Batang"/>
                <w:sz w:val="20"/>
                <w:szCs w:val="20"/>
              </w:rPr>
              <w:t xml:space="preserve"> new type of UE/TRP </w:t>
            </w:r>
            <w:r>
              <w:rPr>
                <w:rFonts w:ascii="Times New Roman" w:hAnsi="Times New Roman"/>
                <w:sz w:val="20"/>
                <w:szCs w:val="20"/>
              </w:rPr>
              <w:t>measurement</w:t>
            </w:r>
            <w:r>
              <w:rPr>
                <w:rFonts w:ascii="Times New Roman" w:hAnsi="Times New Roman" w:eastAsia="Batang"/>
                <w:sz w:val="20"/>
                <w:szCs w:val="20"/>
              </w:rPr>
              <w:t xml:space="preserve"> based on carrier phase differentials across multiple subcarriers within a PFL/carrier</w:t>
            </w:r>
          </w:p>
          <w:p>
            <w:pPr>
              <w:pStyle w:val="80"/>
              <w:numPr>
                <w:ilvl w:val="1"/>
                <w:numId w:val="6"/>
              </w:numPr>
              <w:adjustRightInd w:val="0"/>
              <w:snapToGrid w:val="0"/>
              <w:spacing w:afterLines="50"/>
            </w:pPr>
            <w:r>
              <w:t xml:space="preserve">NOTE: </w:t>
            </w:r>
            <w:r>
              <w:rPr>
                <w:rFonts w:eastAsia="Batang"/>
              </w:rPr>
              <w:t>carrier</w:t>
            </w:r>
            <w:r>
              <w:t xml:space="preserve"> phase differentials across multiple subcarriers within a carrier can be related to time of arrival</w:t>
            </w:r>
          </w:p>
          <w:p>
            <w:pPr>
              <w:pStyle w:val="85"/>
              <w:numPr>
                <w:ilvl w:val="0"/>
                <w:numId w:val="6"/>
              </w:numPr>
              <w:adjustRightInd w:val="0"/>
              <w:snapToGrid w:val="0"/>
              <w:spacing w:after="180" w:afterLines="50" w:line="240" w:lineRule="auto"/>
              <w:rPr>
                <w:rFonts w:ascii="Times New Roman" w:hAnsi="Times New Roman" w:eastAsia="Batang"/>
                <w:bCs/>
                <w:sz w:val="20"/>
                <w:szCs w:val="20"/>
              </w:rPr>
            </w:pPr>
            <w:r>
              <w:rPr>
                <w:rFonts w:ascii="Times New Roman" w:hAnsi="Times New Roman"/>
                <w:sz w:val="20"/>
                <w:szCs w:val="20"/>
              </w:rPr>
              <w:t xml:space="preserve">Option 3: Support a UE/TRP to optionally report an estimated </w:t>
            </w:r>
            <w:r>
              <w:rPr>
                <w:rFonts w:ascii="Times New Roman" w:hAnsi="Times New Roman" w:eastAsia="Batang"/>
                <w:bCs/>
                <w:sz w:val="20"/>
                <w:szCs w:val="20"/>
              </w:rPr>
              <w:t>integer ambiguity and/or search range of the integer ambiguity to LMF</w:t>
            </w:r>
            <w:r>
              <w:rPr>
                <w:rFonts w:hint="eastAsia" w:ascii="Times New Roman" w:hAnsi="Times New Roman" w:eastAsia="宋体"/>
                <w:bCs/>
                <w:sz w:val="20"/>
                <w:szCs w:val="20"/>
              </w:rPr>
              <w:t>.</w:t>
            </w:r>
          </w:p>
          <w:p>
            <w:pPr>
              <w:pStyle w:val="95"/>
              <w:numPr>
                <w:ilvl w:val="0"/>
                <w:numId w:val="6"/>
              </w:numPr>
              <w:snapToGrid w:val="0"/>
              <w:spacing w:afterLines="50" w:line="240" w:lineRule="auto"/>
            </w:pPr>
            <w:r>
              <w:rPr>
                <w:sz w:val="20"/>
              </w:rPr>
              <w:t>Option 4: Support LMF to provide the expected integer ambiguity range at least for UE-based NR CPP in the positioning assistance data.</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multiple sub-carrier phase measurements, in option 1, there is an FFS concerning the details of reporting for multiple sub-carrier phase measurements. As shown in </w:t>
      </w:r>
      <w:r>
        <w:rPr>
          <w:rFonts w:hint="eastAsia" w:ascii="Times New Roman" w:hAnsi="Times New Roman" w:eastAsia="宋体"/>
          <w:sz w:val="20"/>
          <w:szCs w:val="20"/>
        </w:rPr>
        <w:fldChar w:fldCharType="begin"/>
      </w:r>
      <w:r>
        <w:rPr>
          <w:rFonts w:hint="eastAsia" w:ascii="Times New Roman" w:hAnsi="Times New Roman" w:eastAsia="宋体"/>
          <w:sz w:val="20"/>
          <w:szCs w:val="20"/>
        </w:rPr>
        <w:instrText xml:space="preserve"> REF _Ref16015 \h </w:instrText>
      </w:r>
      <w:r>
        <w:rPr>
          <w:rFonts w:hint="eastAsia" w:ascii="Times New Roman" w:hAnsi="Times New Roman" w:eastAsia="宋体"/>
          <w:sz w:val="20"/>
          <w:szCs w:val="20"/>
        </w:rPr>
        <w:fldChar w:fldCharType="separate"/>
      </w:r>
      <w:r>
        <w:rPr>
          <w:rFonts w:ascii="Times New Roman" w:hAnsi="Times New Roman"/>
          <w:sz w:val="20"/>
          <w:szCs w:val="20"/>
        </w:rPr>
        <w:t>Figure 6</w:t>
      </w:r>
      <w:r>
        <w:rPr>
          <w:rFonts w:hint="eastAsia" w:ascii="Times New Roman" w:hAnsi="Times New Roman" w:eastAsia="宋体"/>
          <w:sz w:val="20"/>
          <w:szCs w:val="20"/>
        </w:rPr>
        <w:fldChar w:fldCharType="end"/>
      </w:r>
      <w:r>
        <w:rPr>
          <w:rFonts w:hint="eastAsia" w:ascii="Times New Roman" w:hAnsi="Times New Roman" w:eastAsia="宋体"/>
          <w:sz w:val="20"/>
          <w:szCs w:val="20"/>
        </w:rPr>
        <w:t xml:space="preserve">, a PFL/carrier contains multiple sub-carriers, and UE may report the carrier phase of several sub-carriers in one measurement report. </w:t>
      </w:r>
    </w:p>
    <w:p>
      <w:pPr>
        <w:adjustRightInd w:val="0"/>
        <w:snapToGrid w:val="0"/>
        <w:spacing w:before="180" w:beforeLines="50" w:after="180" w:afterLines="50" w:line="240" w:lineRule="auto"/>
        <w:jc w:val="center"/>
      </w:pPr>
      <w:r>
        <w:drawing>
          <wp:inline distT="0" distB="0" distL="114300" distR="114300">
            <wp:extent cx="2201545" cy="1774190"/>
            <wp:effectExtent l="0" t="0" r="8255" b="16510"/>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20"/>
                    <a:stretch>
                      <a:fillRect/>
                    </a:stretch>
                  </pic:blipFill>
                  <pic:spPr>
                    <a:xfrm>
                      <a:off x="0" y="0"/>
                      <a:ext cx="2201545" cy="1774190"/>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rPr>
      </w:pPr>
      <w:bookmarkStart w:id="21" w:name="_Ref16015"/>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bookmarkEnd w:id="21"/>
      <w:r>
        <w:rPr>
          <w:rFonts w:ascii="Times New Roman" w:hAnsi="Times New Roman"/>
          <w:sz w:val="20"/>
          <w:szCs w:val="20"/>
        </w:rPr>
        <w:t xml:space="preserve">. </w:t>
      </w:r>
      <w:r>
        <w:rPr>
          <w:rFonts w:hint="eastAsia" w:ascii="Times New Roman" w:hAnsi="Times New Roman"/>
          <w:sz w:val="20"/>
          <w:szCs w:val="20"/>
        </w:rPr>
        <w:t xml:space="preserve">UE reports the carrier phase of multiple sub-carriers </w:t>
      </w:r>
    </w:p>
    <w:p>
      <w:pPr>
        <w:adjustRightInd w:val="0"/>
        <w:snapToGrid w:val="0"/>
        <w:spacing w:before="180" w:beforeLines="50" w:after="180" w:afterLines="50" w:line="240" w:lineRule="auto"/>
        <w:jc w:val="both"/>
      </w:pPr>
      <w:r>
        <w:rPr>
          <w:rFonts w:hint="eastAsia" w:ascii="Times New Roman" w:hAnsi="Times New Roman" w:eastAsia="宋体"/>
          <w:sz w:val="20"/>
          <w:szCs w:val="20"/>
        </w:rPr>
        <w:t xml:space="preserve">In </w:t>
      </w:r>
      <w:r>
        <w:rPr>
          <w:rFonts w:hint="eastAsia" w:ascii="Times New Roman" w:hAnsi="Times New Roman" w:eastAsia="宋体"/>
          <w:sz w:val="20"/>
          <w:szCs w:val="20"/>
        </w:rPr>
        <w:fldChar w:fldCharType="begin"/>
      </w:r>
      <w:r>
        <w:rPr>
          <w:rFonts w:hint="eastAsia" w:ascii="Times New Roman" w:hAnsi="Times New Roman" w:eastAsia="宋体"/>
          <w:sz w:val="20"/>
          <w:szCs w:val="20"/>
        </w:rPr>
        <w:instrText xml:space="preserve"> REF _Ref16015 \h </w:instrText>
      </w:r>
      <w:r>
        <w:rPr>
          <w:rFonts w:hint="eastAsia" w:ascii="Times New Roman" w:hAnsi="Times New Roman" w:eastAsia="宋体"/>
          <w:sz w:val="20"/>
          <w:szCs w:val="20"/>
        </w:rPr>
        <w:fldChar w:fldCharType="separate"/>
      </w:r>
      <w:r>
        <w:rPr>
          <w:rFonts w:ascii="Times New Roman" w:hAnsi="Times New Roman"/>
          <w:sz w:val="20"/>
          <w:szCs w:val="20"/>
        </w:rPr>
        <w:t>Figure 6</w:t>
      </w:r>
      <w:r>
        <w:rPr>
          <w:rFonts w:hint="eastAsia" w:ascii="Times New Roman" w:hAnsi="Times New Roman" w:eastAsia="宋体"/>
          <w:sz w:val="20"/>
          <w:szCs w:val="20"/>
        </w:rPr>
        <w:fldChar w:fldCharType="end"/>
      </w:r>
      <w:r>
        <w:rPr>
          <w:rFonts w:hint="eastAsia" w:ascii="Times New Roman" w:hAnsi="Times New Roman" w:eastAsia="宋体"/>
          <w:sz w:val="20"/>
          <w:szCs w:val="20"/>
        </w:rPr>
        <w:t xml:space="preserve">, </w:t>
      </w:r>
      <w:r>
        <w:rPr>
          <w:rFonts w:hint="eastAsia" w:ascii="Times New Roman" w:hAnsi="Times New Roman" w:eastAsia="宋体"/>
          <w:i/>
          <w:iCs/>
          <w:sz w:val="20"/>
          <w:szCs w:val="20"/>
        </w:rPr>
        <w:t>N</w:t>
      </w:r>
      <w:r>
        <w:rPr>
          <w:rFonts w:hint="eastAsia" w:ascii="Times New Roman" w:hAnsi="Times New Roman" w:eastAsia="宋体"/>
          <w:sz w:val="20"/>
          <w:szCs w:val="20"/>
        </w:rPr>
        <w:t xml:space="preserve"> indicates the number of sub-carrier to be reported in each carrier phase measurement result, and </w:t>
      </w:r>
      <w:r>
        <w:rPr>
          <w:rFonts w:hint="eastAsia" w:ascii="Times New Roman" w:hAnsi="Times New Roman" w:eastAsia="宋体"/>
          <w:i/>
          <w:iCs/>
          <w:sz w:val="20"/>
          <w:szCs w:val="20"/>
        </w:rPr>
        <w:t xml:space="preserve">M </w:t>
      </w:r>
      <w:r>
        <w:rPr>
          <w:rFonts w:hint="eastAsia" w:ascii="Times New Roman" w:hAnsi="Times New Roman" w:eastAsia="宋体"/>
          <w:sz w:val="20"/>
          <w:szCs w:val="20"/>
        </w:rPr>
        <w:t xml:space="preserve">represents the number of carrier phase reports in each PFL. LMF can configure the requirement </w:t>
      </w:r>
      <w:r>
        <w:rPr>
          <w:rFonts w:hint="eastAsia" w:ascii="Times New Roman" w:hAnsi="Times New Roman" w:eastAsia="宋体"/>
          <w:i/>
          <w:iCs/>
          <w:sz w:val="20"/>
          <w:szCs w:val="20"/>
        </w:rPr>
        <w:t xml:space="preserve">M </w:t>
      </w:r>
      <w:r>
        <w:rPr>
          <w:rFonts w:hint="eastAsia" w:ascii="Times New Roman" w:hAnsi="Times New Roman" w:eastAsia="宋体"/>
          <w:sz w:val="20"/>
          <w:szCs w:val="20"/>
        </w:rPr>
        <w:t xml:space="preserve">or </w:t>
      </w:r>
      <w:r>
        <w:rPr>
          <w:rFonts w:hint="eastAsia" w:ascii="Times New Roman" w:hAnsi="Times New Roman" w:eastAsia="宋体"/>
          <w:i/>
          <w:iCs/>
          <w:sz w:val="20"/>
          <w:szCs w:val="20"/>
        </w:rPr>
        <w:t xml:space="preserve">N </w:t>
      </w:r>
      <w:r>
        <w:rPr>
          <w:rFonts w:hint="eastAsia" w:ascii="Times New Roman" w:hAnsi="Times New Roman" w:eastAsia="宋体"/>
          <w:sz w:val="20"/>
          <w:szCs w:val="20"/>
        </w:rPr>
        <w:t>for multiple sub-carrier phase measurements. In this way, UE can execute carrier phase measurement and report procedures as configured by LMF.</w:t>
      </w:r>
    </w:p>
    <w:p>
      <w:pPr>
        <w:pStyle w:val="80"/>
        <w:adjustRightInd w:val="0"/>
        <w:snapToGrid w:val="0"/>
        <w:spacing w:afterLines="50"/>
        <w:ind w:left="0" w:firstLine="0"/>
        <w:jc w:val="both"/>
        <w:rPr>
          <w:rFonts w:eastAsia="宋体"/>
          <w:lang w:val="en-US" w:eastAsia="zh-CN"/>
        </w:rPr>
      </w:pPr>
      <w:r>
        <w:rPr>
          <w:rFonts w:hint="eastAsia" w:eastAsia="宋体"/>
          <w:lang w:val="en-US" w:eastAsia="zh-CN"/>
        </w:rPr>
        <w:t>Hence, we have the following proposal:</w:t>
      </w:r>
    </w:p>
    <w:p>
      <w:pPr>
        <w:widowControl w:val="0"/>
        <w:snapToGrid w:val="0"/>
        <w:spacing w:after="0" w:line="240" w:lineRule="auto"/>
        <w:jc w:val="both"/>
        <w:rPr>
          <w:rFonts w:ascii="Times New Roman" w:hAnsi="Times New Roman"/>
          <w:b/>
          <w:bCs/>
          <w:i/>
          <w:iCs/>
          <w:sz w:val="20"/>
          <w:szCs w:val="20"/>
        </w:rPr>
      </w:pPr>
      <w:bookmarkStart w:id="22" w:name="_Ref18376"/>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10</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If a UE/TRP </w:t>
      </w:r>
      <w:r>
        <w:rPr>
          <w:rFonts w:hint="eastAsia" w:ascii="Times New Roman" w:hAnsi="Times New Roman"/>
          <w:b/>
          <w:bCs/>
          <w:i/>
          <w:iCs/>
          <w:sz w:val="20"/>
          <w:szCs w:val="20"/>
          <w:lang w:val="en-US" w:eastAsia="zh-CN"/>
        </w:rPr>
        <w:t>supports</w:t>
      </w:r>
      <w:r>
        <w:rPr>
          <w:rFonts w:hint="eastAsia" w:ascii="Times New Roman" w:hAnsi="Times New Roman"/>
          <w:b/>
          <w:bCs/>
          <w:i/>
          <w:iCs/>
          <w:sz w:val="20"/>
          <w:szCs w:val="20"/>
        </w:rPr>
        <w:t xml:space="preserve"> the carrier phase measurements of more than one frequencies within a PFL/carrier, the following enhancement can be supported:</w:t>
      </w:r>
      <w:bookmarkEnd w:id="22"/>
    </w:p>
    <w:p>
      <w:pPr>
        <w:widowControl w:val="0"/>
        <w:snapToGrid w:val="0"/>
        <w:spacing w:after="0" w:line="240" w:lineRule="auto"/>
        <w:ind w:firstLine="720"/>
        <w:jc w:val="both"/>
        <w:rPr>
          <w:rFonts w:ascii="Times New Roman" w:hAnsi="Times New Roman"/>
          <w:b/>
          <w:bCs/>
          <w:i/>
          <w:iCs/>
          <w:sz w:val="20"/>
          <w:szCs w:val="20"/>
        </w:rPr>
      </w:pPr>
      <w:r>
        <w:rPr>
          <w:rFonts w:hint="eastAsia" w:ascii="Times New Roman" w:hAnsi="Times New Roman"/>
          <w:b/>
          <w:bCs/>
          <w:i/>
          <w:iCs/>
          <w:sz w:val="20"/>
          <w:szCs w:val="20"/>
        </w:rPr>
        <w:t>-LMF configures the number of PRBs/sub-carriers for each carrier phase measurement report.</w:t>
      </w:r>
    </w:p>
    <w:p>
      <w:pPr>
        <w:widowControl w:val="0"/>
        <w:snapToGrid w:val="0"/>
        <w:spacing w:after="0" w:line="240" w:lineRule="auto"/>
        <w:ind w:firstLine="720"/>
        <w:jc w:val="both"/>
        <w:rPr>
          <w:rFonts w:ascii="Times New Roman" w:hAnsi="Times New Roman"/>
          <w:b/>
          <w:bCs/>
          <w:i/>
          <w:iCs/>
          <w:sz w:val="20"/>
          <w:szCs w:val="20"/>
        </w:rPr>
      </w:pPr>
      <w:r>
        <w:rPr>
          <w:rFonts w:hint="eastAsia" w:ascii="Times New Roman" w:hAnsi="Times New Roman"/>
          <w:b/>
          <w:bCs/>
          <w:i/>
          <w:iCs/>
          <w:sz w:val="20"/>
          <w:szCs w:val="20"/>
        </w:rPr>
        <w:t>-LMF configures the number of carrier phase measurement reports for each PFL/carrier.</w:t>
      </w:r>
    </w:p>
    <w:p>
      <w:pPr>
        <w:pStyle w:val="3"/>
        <w:snapToGrid w:val="0"/>
        <w:spacing w:line="240" w:lineRule="auto"/>
        <w:rPr>
          <w:sz w:val="24"/>
          <w:szCs w:val="24"/>
        </w:rPr>
      </w:pPr>
      <w:r>
        <w:rPr>
          <w:rFonts w:hint="eastAsia"/>
          <w:sz w:val="24"/>
          <w:szCs w:val="24"/>
          <w:lang w:val="en-US"/>
        </w:rPr>
        <w:t>Phase Error Group</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As mentioned in the last meeting, a</w:t>
      </w:r>
      <w:r>
        <w:rPr>
          <w:rFonts w:ascii="Times New Roman" w:hAnsi="Times New Roman" w:eastAsia="宋体"/>
          <w:sz w:val="20"/>
          <w:szCs w:val="20"/>
        </w:rPr>
        <w:t xml:space="preserve"> UE/TRP may have several Tx/Rx antenna panels with different Tx/Rx chains, which may lead to RF signals that are transmitted and/or received through various RF chains, </w:t>
      </w:r>
      <w:r>
        <w:rPr>
          <w:rFonts w:hint="eastAsia" w:ascii="Times New Roman" w:hAnsi="Times New Roman" w:eastAsia="宋体"/>
          <w:sz w:val="20"/>
          <w:szCs w:val="20"/>
        </w:rPr>
        <w:t xml:space="preserve">and </w:t>
      </w:r>
      <w:r>
        <w:rPr>
          <w:rFonts w:ascii="Times New Roman" w:hAnsi="Times New Roman" w:eastAsia="宋体"/>
          <w:sz w:val="20"/>
          <w:szCs w:val="20"/>
        </w:rPr>
        <w:t>experience distinct group delays. To address the impact of the phase delays on Tx/Rx RF chains</w:t>
      </w:r>
      <w:r>
        <w:rPr>
          <w:rFonts w:hint="eastAsia" w:ascii="Times New Roman" w:hAnsi="Times New Roman" w:eastAsia="宋体"/>
          <w:sz w:val="20"/>
          <w:szCs w:val="20"/>
        </w:rPr>
        <w:t xml:space="preserve">,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WG1#112bis-e [1]: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9" w:hRule="atLeast"/>
        </w:trPr>
        <w:tc>
          <w:tcPr>
            <w:tcW w:w="10340" w:type="dxa"/>
          </w:tcPr>
          <w:p>
            <w:pPr>
              <w:adjustRightInd w:val="0"/>
              <w:snapToGrid w:val="0"/>
              <w:spacing w:after="0" w:line="240" w:lineRule="auto"/>
              <w:rPr>
                <w:rFonts w:ascii="Times New Roman" w:hAnsi="Times New Roman"/>
                <w:bCs/>
                <w:sz w:val="20"/>
                <w:szCs w:val="20"/>
              </w:rPr>
            </w:pPr>
            <w:r>
              <w:rPr>
                <w:rFonts w:ascii="Times New Roman" w:hAnsi="Times New Roman"/>
                <w:b/>
                <w:sz w:val="20"/>
                <w:szCs w:val="20"/>
                <w:u w:val="single"/>
              </w:rPr>
              <w:t>Agreement</w:t>
            </w:r>
          </w:p>
          <w:p>
            <w:pPr>
              <w:adjustRightInd w:val="0"/>
              <w:snapToGrid w:val="0"/>
              <w:spacing w:after="0" w:line="240" w:lineRule="auto"/>
              <w:rPr>
                <w:rFonts w:ascii="Times New Roman" w:hAnsi="Times New Roman" w:eastAsia="宋体"/>
                <w:bCs/>
                <w:iCs/>
                <w:sz w:val="20"/>
                <w:szCs w:val="20"/>
              </w:rPr>
            </w:pPr>
            <w:r>
              <w:rPr>
                <w:rFonts w:ascii="Times New Roman" w:hAnsi="Times New Roman"/>
                <w:bCs/>
                <w:iCs/>
                <w:sz w:val="20"/>
                <w:szCs w:val="20"/>
              </w:rPr>
              <w:t>To address the impact of the phase delays on Tx/Rx RF chains, support one or more of the following options (down-selection in RAN1#113):</w:t>
            </w:r>
          </w:p>
          <w:p>
            <w:pPr>
              <w:numPr>
                <w:ilvl w:val="0"/>
                <w:numId w:val="5"/>
              </w:numPr>
              <w:adjustRightInd w:val="0"/>
              <w:snapToGrid w:val="0"/>
              <w:spacing w:after="0" w:line="240" w:lineRule="auto"/>
              <w:contextualSpacing/>
              <w:rPr>
                <w:rFonts w:ascii="Times New Roman" w:hAnsi="Times New Roman"/>
                <w:bCs/>
                <w:iCs/>
                <w:sz w:val="20"/>
                <w:szCs w:val="20"/>
              </w:rPr>
            </w:pPr>
            <w:r>
              <w:rPr>
                <w:rFonts w:ascii="Times New Roman" w:hAnsi="Times New Roman"/>
                <w:bCs/>
                <w:sz w:val="20"/>
                <w:szCs w:val="20"/>
              </w:rPr>
              <w:t>Option 1a: introduce the definition of UE/TRP Tx/Rx phase error groups (PEGs) for the Tx/Rx of DL PRS/UL SRS signals</w:t>
            </w:r>
            <w:r>
              <w:rPr>
                <w:rFonts w:ascii="Times New Roman" w:hAnsi="Times New Roman"/>
                <w:bCs/>
                <w:iCs/>
                <w:sz w:val="20"/>
                <w:szCs w:val="20"/>
              </w:rPr>
              <w:t xml:space="preserve"> </w:t>
            </w:r>
          </w:p>
          <w:p>
            <w:pPr>
              <w:numPr>
                <w:ilvl w:val="1"/>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iCs/>
                <w:sz w:val="20"/>
                <w:szCs w:val="20"/>
              </w:rPr>
              <w:t>Rel-17 definitions of UE/TRP Tx/Rx TEGs can be used as the starting point for defining UE/TRP Tx/Rx PEGs.</w:t>
            </w:r>
          </w:p>
          <w:p>
            <w:pPr>
              <w:numPr>
                <w:ilvl w:val="1"/>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iCs/>
                <w:sz w:val="20"/>
                <w:szCs w:val="20"/>
              </w:rPr>
              <w:t>FFS: the details of the UE/TRP Tx/Rx PEGs</w:t>
            </w:r>
          </w:p>
          <w:p>
            <w:pPr>
              <w:numPr>
                <w:ilvl w:val="0"/>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iCs/>
                <w:sz w:val="20"/>
                <w:szCs w:val="20"/>
              </w:rPr>
              <w:t>Option 1b: Introduce Tx/Rx RF antenna IDs or Tx/Rx RF chain IDs to identify the individual Tx/Rx RF chains for transmitting/receiving the DL PRS/UL SRS signals.</w:t>
            </w:r>
            <w:r>
              <w:rPr>
                <w:rFonts w:ascii="Times New Roman" w:hAnsi="Times New Roman"/>
                <w:bCs/>
                <w:sz w:val="20"/>
                <w:szCs w:val="20"/>
              </w:rPr>
              <w:t xml:space="preserve"> </w:t>
            </w:r>
          </w:p>
          <w:p>
            <w:pPr>
              <w:numPr>
                <w:ilvl w:val="1"/>
                <w:numId w:val="5"/>
              </w:numPr>
              <w:adjustRightInd w:val="0"/>
              <w:snapToGrid w:val="0"/>
              <w:spacing w:after="0" w:line="240" w:lineRule="auto"/>
              <w:contextualSpacing/>
              <w:rPr>
                <w:rFonts w:ascii="Times New Roman" w:hAnsi="Times New Roman"/>
                <w:bCs/>
                <w:iCs/>
                <w:sz w:val="20"/>
                <w:szCs w:val="20"/>
              </w:rPr>
            </w:pPr>
            <w:r>
              <w:rPr>
                <w:rFonts w:ascii="Times New Roman" w:hAnsi="Times New Roman"/>
                <w:bCs/>
                <w:iCs/>
                <w:sz w:val="20"/>
                <w:szCs w:val="20"/>
              </w:rPr>
              <w:t>FFS: the details of the Tx/Rx RF antenna IDs or Tx/Rx RF chain IDs</w:t>
            </w:r>
          </w:p>
          <w:p>
            <w:pPr>
              <w:numPr>
                <w:ilvl w:val="1"/>
                <w:numId w:val="5"/>
              </w:numPr>
              <w:adjustRightInd w:val="0"/>
              <w:snapToGrid w:val="0"/>
              <w:spacing w:after="0" w:line="240" w:lineRule="auto"/>
              <w:contextualSpacing/>
              <w:rPr>
                <w:rFonts w:ascii="Times New Roman" w:hAnsi="Times New Roman"/>
                <w:bCs/>
                <w:sz w:val="20"/>
                <w:szCs w:val="20"/>
              </w:rPr>
            </w:pPr>
            <w:r>
              <w:rPr>
                <w:rFonts w:ascii="Times New Roman" w:hAnsi="Times New Roman"/>
                <w:bCs/>
                <w:sz w:val="20"/>
                <w:szCs w:val="20"/>
              </w:rPr>
              <w:t>Note: Device transmitting PRS or positioning SRS provides Tx antenna ID or Tx Chain ID. Device receiving PRS or positioning SRS provides Rx antenna ID or Rx Chain ID</w:t>
            </w:r>
            <w:r>
              <w:rPr>
                <w:rFonts w:ascii="Times New Roman" w:hAnsi="Times New Roman"/>
                <w:bCs/>
                <w:iCs/>
                <w:sz w:val="20"/>
                <w:szCs w:val="20"/>
              </w:rPr>
              <w:t>.</w:t>
            </w:r>
          </w:p>
          <w:p>
            <w:pPr>
              <w:numPr>
                <w:ilvl w:val="0"/>
                <w:numId w:val="5"/>
              </w:numPr>
              <w:adjustRightInd w:val="0"/>
              <w:snapToGrid w:val="0"/>
              <w:spacing w:after="0" w:line="240" w:lineRule="auto"/>
              <w:contextualSpacing/>
              <w:rPr>
                <w:rFonts w:ascii="Times New Roman" w:hAnsi="Times New Roman"/>
                <w:bCs/>
                <w:iCs/>
                <w:sz w:val="20"/>
                <w:szCs w:val="20"/>
              </w:rPr>
            </w:pPr>
            <w:r>
              <w:rPr>
                <w:rFonts w:ascii="Times New Roman" w:hAnsi="Times New Roman"/>
                <w:bCs/>
                <w:sz w:val="20"/>
                <w:szCs w:val="20"/>
              </w:rPr>
              <w:t>Option 1c: introduce the report of ARP ID for the Rx/Tx of DL PRS/UL SRS signals.</w:t>
            </w:r>
            <w:r>
              <w:rPr>
                <w:rFonts w:ascii="Times New Roman" w:hAnsi="Times New Roman"/>
                <w:bCs/>
                <w:iCs/>
                <w:sz w:val="20"/>
                <w:szCs w:val="20"/>
              </w:rPr>
              <w:t xml:space="preserve"> </w:t>
            </w:r>
          </w:p>
          <w:p>
            <w:pPr>
              <w:numPr>
                <w:ilvl w:val="1"/>
                <w:numId w:val="5"/>
              </w:numPr>
              <w:adjustRightInd w:val="0"/>
              <w:snapToGrid w:val="0"/>
              <w:spacing w:after="0" w:line="240" w:lineRule="auto"/>
              <w:contextualSpacing/>
              <w:rPr>
                <w:rFonts w:ascii="Times New Roman" w:hAnsi="Times New Roman"/>
                <w:bCs/>
                <w:iCs/>
                <w:sz w:val="20"/>
                <w:szCs w:val="20"/>
              </w:rPr>
            </w:pPr>
            <w:r>
              <w:rPr>
                <w:rFonts w:ascii="Times New Roman" w:hAnsi="Times New Roman"/>
                <w:bCs/>
                <w:sz w:val="20"/>
                <w:szCs w:val="20"/>
              </w:rPr>
              <w:t>The transmission/reception associated with the same ARP ID is assumed from the same ARP.</w:t>
            </w:r>
          </w:p>
          <w:p>
            <w:pPr>
              <w:numPr>
                <w:ilvl w:val="1"/>
                <w:numId w:val="5"/>
              </w:numPr>
              <w:adjustRightInd w:val="0"/>
              <w:snapToGrid w:val="0"/>
              <w:spacing w:after="0" w:line="240" w:lineRule="auto"/>
              <w:contextualSpacing/>
              <w:rPr>
                <w:rFonts w:ascii="Times New Roman" w:hAnsi="Times New Roman"/>
                <w:bCs/>
                <w:iCs/>
                <w:sz w:val="20"/>
                <w:szCs w:val="20"/>
              </w:rPr>
            </w:pPr>
            <w:r>
              <w:rPr>
                <w:rFonts w:ascii="Times New Roman" w:hAnsi="Times New Roman"/>
                <w:bCs/>
                <w:sz w:val="20"/>
                <w:szCs w:val="20"/>
              </w:rPr>
              <w:t>FFS: the maximum number of ARP IDs.</w:t>
            </w:r>
          </w:p>
          <w:p>
            <w:pPr>
              <w:numPr>
                <w:ilvl w:val="0"/>
                <w:numId w:val="5"/>
              </w:numPr>
              <w:adjustRightInd w:val="0"/>
              <w:snapToGrid w:val="0"/>
              <w:spacing w:after="0" w:line="240" w:lineRule="auto"/>
              <w:contextualSpacing/>
              <w:rPr>
                <w:rFonts w:ascii="Times New Roman" w:hAnsi="Times New Roman"/>
                <w:sz w:val="20"/>
                <w:szCs w:val="20"/>
              </w:rPr>
            </w:pPr>
            <w:r>
              <w:rPr>
                <w:rFonts w:ascii="Times New Roman" w:hAnsi="Times New Roman"/>
                <w:bCs/>
                <w:iCs/>
                <w:sz w:val="20"/>
                <w:szCs w:val="20"/>
              </w:rPr>
              <w:t>Option 2: reuse or enhance the existing Rel-17 definitions of UE/TRP Tx/Rx TEGs with smaller margin value.</w:t>
            </w:r>
          </w:p>
          <w:p>
            <w:pPr>
              <w:numPr>
                <w:ilvl w:val="0"/>
                <w:numId w:val="5"/>
              </w:numPr>
              <w:adjustRightInd w:val="0"/>
              <w:snapToGrid w:val="0"/>
              <w:spacing w:after="0" w:line="240" w:lineRule="auto"/>
              <w:contextualSpacing/>
            </w:pPr>
            <w:r>
              <w:rPr>
                <w:rFonts w:ascii="Times New Roman" w:hAnsi="Times New Roman"/>
                <w:bCs/>
                <w:sz w:val="20"/>
                <w:szCs w:val="20"/>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rFonts w:ascii="Times New Roman" w:hAnsi="Times New Roman"/>
                <w:bCs/>
                <w:iCs/>
                <w:sz w:val="20"/>
                <w:szCs w:val="20"/>
              </w:rPr>
              <w:t>reuse or enhance the existing Rel-17 definitions of UE/TRP Tx/Rx TEGs with smaller margin value,</w:t>
            </w:r>
            <w:r>
              <w:rPr>
                <w:rFonts w:ascii="Times New Roman" w:hAnsi="Times New Roman"/>
                <w:bCs/>
                <w:sz w:val="20"/>
                <w:szCs w:val="20"/>
              </w:rPr>
              <w:t xml:space="preserve"> and provide the definitions if RAN4 decides it is needed.</w:t>
            </w:r>
          </w:p>
        </w:tc>
      </w:tr>
    </w:tbl>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RAN1 has introduced the Timing Error Group</w:t>
      </w:r>
      <w:r>
        <w:rPr>
          <w:rFonts w:hint="eastAsia" w:ascii="Times New Roman" w:hAnsi="Times New Roman"/>
          <w:sz w:val="20"/>
          <w:szCs w:val="20"/>
        </w:rPr>
        <w:t xml:space="preserve"> (TEG)</w:t>
      </w:r>
      <w:r>
        <w:rPr>
          <w:rFonts w:ascii="Times New Roman" w:hAnsi="Times New Roman"/>
          <w:sz w:val="20"/>
          <w:szCs w:val="20"/>
        </w:rPr>
        <w:t xml:space="preserve"> to address the group delays for timing measurements. For carrier phase positioning, </w:t>
      </w: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s feasible</w:t>
      </w:r>
      <w:r>
        <w:rPr>
          <w:rFonts w:ascii="Times New Roman" w:hAnsi="Times New Roman"/>
          <w:sz w:val="20"/>
          <w:szCs w:val="20"/>
        </w:rPr>
        <w:t xml:space="preserve"> to introduce </w:t>
      </w:r>
      <w:r>
        <w:rPr>
          <w:rFonts w:hint="eastAsia" w:ascii="Times New Roman" w:hAnsi="Times New Roman"/>
          <w:sz w:val="20"/>
          <w:szCs w:val="20"/>
        </w:rPr>
        <w:t xml:space="preserve">a </w:t>
      </w:r>
      <w:r>
        <w:rPr>
          <w:rFonts w:ascii="Times New Roman" w:hAnsi="Times New Roman"/>
          <w:sz w:val="20"/>
          <w:szCs w:val="20"/>
        </w:rPr>
        <w:t xml:space="preserve">new definition of UE/TRP Rx/Tx phase error groups to address the group delays </w:t>
      </w:r>
      <w:r>
        <w:rPr>
          <w:rFonts w:hint="eastAsia" w:ascii="Times New Roman" w:hAnsi="Times New Roman"/>
          <w:sz w:val="20"/>
          <w:szCs w:val="20"/>
        </w:rPr>
        <w:t>i</w:t>
      </w:r>
      <w:r>
        <w:rPr>
          <w:rFonts w:ascii="Times New Roman" w:hAnsi="Times New Roman"/>
          <w:sz w:val="20"/>
          <w:szCs w:val="20"/>
        </w:rPr>
        <w:t>n the phase measurements. A gNB (or TRP) or UE may be equipped with multiple antennas (including transmission antenna,</w:t>
      </w:r>
      <w:r>
        <w:rPr>
          <w:rFonts w:hint="eastAsia" w:ascii="Times New Roman" w:hAnsi="Times New Roman"/>
          <w:sz w:val="20"/>
          <w:szCs w:val="20"/>
        </w:rPr>
        <w:t xml:space="preserve"> and</w:t>
      </w:r>
      <w:r>
        <w:rPr>
          <w:rFonts w:ascii="Times New Roman" w:hAnsi="Times New Roman"/>
          <w:sz w:val="20"/>
          <w:szCs w:val="20"/>
        </w:rPr>
        <w:t xml:space="preserve"> reception antenna). Different antenna</w:t>
      </w:r>
      <w:r>
        <w:rPr>
          <w:rFonts w:hint="eastAsia" w:ascii="Times New Roman" w:hAnsi="Times New Roman"/>
          <w:sz w:val="20"/>
          <w:szCs w:val="20"/>
        </w:rPr>
        <w:t>s</w:t>
      </w:r>
      <w:r>
        <w:rPr>
          <w:rFonts w:ascii="Times New Roman" w:hAnsi="Times New Roman"/>
          <w:sz w:val="20"/>
          <w:szCs w:val="20"/>
        </w:rPr>
        <w:t xml:space="preserve"> may have different phase error</w:t>
      </w:r>
      <w:r>
        <w:rPr>
          <w:rFonts w:hint="eastAsia" w:ascii="Times New Roman" w:hAnsi="Times New Roman"/>
          <w:sz w:val="20"/>
          <w:szCs w:val="20"/>
        </w:rPr>
        <w:t>s</w:t>
      </w:r>
      <w:r>
        <w:rPr>
          <w:rFonts w:ascii="Times New Roman" w:hAnsi="Times New Roman"/>
          <w:sz w:val="20"/>
          <w:szCs w:val="20"/>
        </w:rPr>
        <w:t xml:space="preserve"> when performing carrier phase measurement</w:t>
      </w:r>
      <w:r>
        <w:rPr>
          <w:rFonts w:hint="eastAsia" w:ascii="Times New Roman" w:hAnsi="Times New Roman"/>
          <w:sz w:val="20"/>
          <w:szCs w:val="20"/>
        </w:rPr>
        <w:t>s</w:t>
      </w:r>
      <w:r>
        <w:rPr>
          <w:rFonts w:ascii="Times New Roman" w:hAnsi="Times New Roman"/>
          <w:sz w:val="20"/>
          <w:szCs w:val="20"/>
        </w:rPr>
        <w:t xml:space="preserve">. As the following figure, it is appropriate to measure </w:t>
      </w:r>
      <w:r>
        <w:rPr>
          <w:rFonts w:hint="eastAsia" w:ascii="Times New Roman" w:hAnsi="Times New Roman"/>
          <w:sz w:val="20"/>
          <w:szCs w:val="20"/>
        </w:rPr>
        <w:t xml:space="preserve">the </w:t>
      </w:r>
      <w:r>
        <w:rPr>
          <w:rFonts w:ascii="Times New Roman" w:hAnsi="Times New Roman"/>
          <w:sz w:val="20"/>
          <w:szCs w:val="20"/>
        </w:rPr>
        <w:t>carrier phase with the antenna(s) within a phase error group (PEG)</w:t>
      </w:r>
      <w:r>
        <w:rPr>
          <w:rFonts w:hint="eastAsia" w:ascii="Times New Roman" w:hAnsi="Times New Roman"/>
          <w:sz w:val="20"/>
          <w:szCs w:val="20"/>
        </w:rPr>
        <w:t xml:space="preserve"> which is similar to TEG defined in Rel-17</w:t>
      </w:r>
      <w:r>
        <w:rPr>
          <w:rFonts w:ascii="Times New Roman" w:hAnsi="Times New Roman"/>
          <w:sz w:val="20"/>
          <w:szCs w:val="20"/>
        </w:rPr>
        <w:t>.</w:t>
      </w:r>
      <w:r>
        <w:rPr>
          <w:rFonts w:hint="eastAsia" w:ascii="Times New Roman" w:hAnsi="Times New Roman"/>
          <w:sz w:val="20"/>
          <w:szCs w:val="20"/>
        </w:rPr>
        <w:t xml:space="preserve"> More specifically, one or more antennas within a phase error margin can be grouped into a PEG.</w:t>
      </w:r>
      <w:r>
        <w:rPr>
          <w:rFonts w:ascii="Times New Roman" w:hAnsi="Times New Roman"/>
          <w:sz w:val="20"/>
          <w:szCs w:val="20"/>
        </w:rPr>
        <w:t xml:space="preserve"> </w:t>
      </w:r>
    </w:p>
    <w:p>
      <w:pPr>
        <w:widowControl w:val="0"/>
        <w:snapToGrid w:val="0"/>
        <w:spacing w:before="180" w:beforeLines="50" w:after="180" w:afterLines="50" w:line="240" w:lineRule="auto"/>
        <w:jc w:val="center"/>
      </w:pPr>
      <w:r>
        <w:object>
          <v:shape id="_x0000_i1030" o:spt="75" type="#_x0000_t75" style="height:121.15pt;width:120.75pt;" o:ole="t" filled="f" o:preferrelative="t" stroked="f" coordsize="21600,21600">
            <v:path/>
            <v:fill on="f" focussize="0,0"/>
            <v:stroke on="f" joinstyle="miter"/>
            <v:imagedata r:id="rId22" o:title=""/>
            <o:lock v:ext="edit" aspectratio="t"/>
            <w10:wrap type="none"/>
            <w10:anchorlock/>
          </v:shape>
          <o:OLEObject Type="Embed" ProgID="Visio.Drawing.11" ShapeID="_x0000_i1030" DrawAspect="Content" ObjectID="_1468075729" r:id="rId21">
            <o:LockedField>false</o:LockedField>
          </o:OLEObject>
        </w:object>
      </w:r>
    </w:p>
    <w:p>
      <w:pPr>
        <w:pStyle w:val="13"/>
        <w:widowControl w:val="0"/>
        <w:snapToGrid w:val="0"/>
        <w:spacing w:before="180" w:beforeLines="50" w:after="180" w:afterLines="50"/>
        <w:jc w:val="center"/>
        <w:rPr>
          <w:lang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r>
        <w:rPr>
          <w:rFonts w:hint="eastAsia"/>
          <w:b w:val="0"/>
          <w:bCs w:val="0"/>
          <w:lang w:val="en-US" w:eastAsia="zh-CN"/>
        </w:rPr>
        <w:t xml:space="preserve">. </w:t>
      </w:r>
      <w:r>
        <w:rPr>
          <w:b w:val="0"/>
          <w:bCs w:val="0"/>
        </w:rPr>
        <w:t>Conception for PEG</w:t>
      </w:r>
    </w:p>
    <w:p>
      <w:pPr>
        <w:pStyle w:val="55"/>
        <w:adjustRightInd w:val="0"/>
        <w:snapToGrid w:val="0"/>
        <w:ind w:firstLine="0" w:firstLineChars="0"/>
        <w:rPr>
          <w:kern w:val="0"/>
          <w:sz w:val="20"/>
          <w:szCs w:val="20"/>
        </w:rPr>
      </w:pPr>
      <w:r>
        <w:rPr>
          <w:kern w:val="0"/>
          <w:sz w:val="20"/>
          <w:szCs w:val="20"/>
        </w:rPr>
        <w:t xml:space="preserve">With </w:t>
      </w:r>
      <w:r>
        <w:rPr>
          <w:rFonts w:hint="eastAsia"/>
          <w:kern w:val="0"/>
          <w:sz w:val="20"/>
          <w:szCs w:val="20"/>
        </w:rPr>
        <w:t>the help of PEG</w:t>
      </w:r>
      <w:r>
        <w:rPr>
          <w:kern w:val="0"/>
          <w:sz w:val="20"/>
          <w:szCs w:val="20"/>
        </w:rPr>
        <w:t xml:space="preserve">, </w:t>
      </w:r>
      <w:r>
        <w:rPr>
          <w:rFonts w:hint="eastAsia"/>
          <w:kern w:val="0"/>
          <w:sz w:val="20"/>
          <w:szCs w:val="20"/>
        </w:rPr>
        <w:t>UE (for UE-based positioning method) or LMF (for UE-assisted/NG-RAN node-assisted positioning method)</w:t>
      </w:r>
      <w:r>
        <w:rPr>
          <w:kern w:val="0"/>
          <w:sz w:val="20"/>
          <w:szCs w:val="20"/>
        </w:rPr>
        <w:t xml:space="preserve"> can choose</w:t>
      </w:r>
      <w:r>
        <w:rPr>
          <w:rFonts w:hint="eastAsia"/>
          <w:kern w:val="0"/>
          <w:sz w:val="20"/>
          <w:szCs w:val="20"/>
        </w:rPr>
        <w:t xml:space="preserve"> the</w:t>
      </w:r>
      <w:r>
        <w:rPr>
          <w:kern w:val="0"/>
          <w:sz w:val="20"/>
          <w:szCs w:val="20"/>
        </w:rPr>
        <w:t xml:space="preserve"> appropriate antenna/PEG for </w:t>
      </w:r>
      <w:r>
        <w:rPr>
          <w:rFonts w:hint="eastAsia"/>
          <w:kern w:val="0"/>
          <w:sz w:val="20"/>
          <w:szCs w:val="20"/>
        </w:rPr>
        <w:t>location estimation with the measured and/or reported carrier phase</w:t>
      </w:r>
      <w:r>
        <w:rPr>
          <w:kern w:val="0"/>
          <w:sz w:val="20"/>
          <w:szCs w:val="20"/>
        </w:rPr>
        <w:t xml:space="preserve">. </w:t>
      </w:r>
      <w:r>
        <w:rPr>
          <w:rFonts w:hint="eastAsia"/>
          <w:kern w:val="0"/>
          <w:sz w:val="20"/>
          <w:szCs w:val="20"/>
        </w:rPr>
        <w:t>T</w:t>
      </w:r>
      <w:r>
        <w:rPr>
          <w:kern w:val="0"/>
          <w:sz w:val="20"/>
          <w:szCs w:val="20"/>
        </w:rPr>
        <w:t xml:space="preserve">he phase error can be </w:t>
      </w:r>
      <w:r>
        <w:rPr>
          <w:rFonts w:hint="eastAsia"/>
          <w:kern w:val="0"/>
          <w:sz w:val="20"/>
          <w:szCs w:val="20"/>
        </w:rPr>
        <w:t>minimized, and the positioning accuracy can be definitely improved. Taking these factors into consideration, option 1a should be supported.</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option 1b, in our opinion, different RF chains or RF antennas may have different phase errors. Even with RF chain ID or RF antenna ID reported, the phase error is still unclear. More specifically, how to map the RF chain ID to phase error is another problem</w:t>
      </w:r>
      <w:r>
        <w:rPr>
          <w:rFonts w:hint="eastAsia" w:ascii="Times New Roman" w:hAnsi="Times New Roman"/>
          <w:sz w:val="20"/>
          <w:szCs w:val="20"/>
          <w:lang w:val="en-US" w:eastAsia="zh-CN"/>
        </w:rPr>
        <w:t xml:space="preserve"> from RAN1 perspective</w:t>
      </w:r>
      <w:r>
        <w:rPr>
          <w:rFonts w:hint="eastAsia" w:ascii="Times New Roman" w:hAnsi="Times New Roman"/>
          <w:sz w:val="20"/>
          <w:szCs w:val="20"/>
        </w:rPr>
        <w:t xml:space="preserve">, UE/TRP may still have no idea about the phase error for PRS/SRS transmission with the reported RF chain or antenna ID. </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option 1c, in the current specification, ARP ID has been introduced for TRP, and TRP will report the ARP ID together with the measurement result together to LMF for positioning purposes. </w:t>
      </w:r>
      <w:r>
        <w:rPr>
          <w:rFonts w:hint="eastAsia" w:ascii="Times New Roman" w:hAnsi="Times New Roman"/>
          <w:sz w:val="20"/>
          <w:szCs w:val="20"/>
          <w:lang w:val="en-US" w:eastAsia="zh-CN"/>
        </w:rPr>
        <w:t xml:space="preserve">Basically, ARP may have different coordinates from the corresponding TRP. </w:t>
      </w:r>
      <w:r>
        <w:rPr>
          <w:rFonts w:hint="eastAsia" w:ascii="Times New Roman" w:hAnsi="Times New Roman"/>
          <w:sz w:val="20"/>
          <w:szCs w:val="20"/>
        </w:rPr>
        <w:t>The option 1c is to specify the phase error on the UE side</w:t>
      </w:r>
      <w:r>
        <w:rPr>
          <w:rFonts w:hint="eastAsia" w:ascii="Times New Roman" w:hAnsi="Times New Roman"/>
          <w:sz w:val="20"/>
          <w:szCs w:val="20"/>
          <w:lang w:val="en-US" w:eastAsia="zh-CN"/>
        </w:rPr>
        <w:t xml:space="preserve"> by repurposing the definition of ARP</w:t>
      </w:r>
      <w:r>
        <w:rPr>
          <w:rFonts w:hint="eastAsia" w:ascii="Times New Roman" w:hAnsi="Times New Roman"/>
          <w:sz w:val="20"/>
          <w:szCs w:val="20"/>
        </w:rPr>
        <w:t xml:space="preserve">, </w:t>
      </w:r>
      <w:r>
        <w:rPr>
          <w:rFonts w:hint="eastAsia" w:ascii="Times New Roman" w:hAnsi="Times New Roman"/>
          <w:sz w:val="20"/>
          <w:szCs w:val="20"/>
          <w:lang w:val="en-US" w:eastAsia="zh-CN"/>
        </w:rPr>
        <w:t>it is not desirable since it may cause specification indigestible</w:t>
      </w:r>
      <w:r>
        <w:rPr>
          <w:rFonts w:hint="eastAsia" w:ascii="Times New Roman" w:hAnsi="Times New Roman"/>
          <w:sz w:val="20"/>
          <w:szCs w:val="20"/>
        </w:rPr>
        <w:t>.</w:t>
      </w:r>
    </w:p>
    <w:p>
      <w:pPr>
        <w:widowControl w:val="0"/>
        <w:adjustRightInd w:val="0"/>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sz w:val="20"/>
          <w:szCs w:val="20"/>
        </w:rPr>
        <w:t>For option 2, carrier phase measurement is more related to phase error evaluation, instead of timing error. The benefits of enhancing the current TEG for carrier phase measurement is not clear yet. Instead, it would be useful if we can clarify the relationship between PEG and TEG. Therefore, it would be better to define PEG, wherein the definition of TEG</w:t>
      </w:r>
      <w:r>
        <w:rPr>
          <w:rFonts w:ascii="Times New Roman" w:hAnsi="Times New Roman"/>
          <w:bCs/>
          <w:iCs/>
          <w:sz w:val="20"/>
          <w:szCs w:val="20"/>
        </w:rPr>
        <w:t>s can be used as the starting point for PEGs</w:t>
      </w:r>
      <w:r>
        <w:rPr>
          <w:rFonts w:hint="eastAsia" w:ascii="Times New Roman" w:hAnsi="Times New Roman"/>
          <w:bCs/>
          <w:iCs/>
          <w:sz w:val="20"/>
          <w:szCs w:val="20"/>
        </w:rPr>
        <w:t>, i.e., adopt the note in option 1a</w:t>
      </w:r>
      <w:r>
        <w:rPr>
          <w:rFonts w:ascii="Times New Roman" w:hAnsi="Times New Roman"/>
          <w:bCs/>
          <w:iCs/>
          <w:sz w:val="20"/>
          <w:szCs w:val="20"/>
        </w:rPr>
        <w: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Cs/>
          <w:iCs/>
          <w:sz w:val="20"/>
          <w:szCs w:val="20"/>
        </w:rPr>
        <w:t xml:space="preserve">As for option 3, from our point of view, this can be decided by RAN1, introducing PEG for carrier phase measurement is a feasible way to address the impact of the phase error. </w:t>
      </w:r>
      <w:r>
        <w:rPr>
          <w:rFonts w:ascii="Times New Roman" w:hAnsi="Times New Roman"/>
          <w:sz w:val="20"/>
          <w:szCs w:val="20"/>
        </w:rPr>
        <w:t>Hence, we have the following proposal</w:t>
      </w:r>
      <w:r>
        <w:rPr>
          <w:rFonts w:hint="eastAsia" w:ascii="Times New Roman" w:hAnsi="Times New Roman"/>
          <w:sz w:val="20"/>
          <w:szCs w:val="20"/>
        </w:rPr>
        <w:t>.</w:t>
      </w:r>
    </w:p>
    <w:p>
      <w:pPr>
        <w:adjustRightInd w:val="0"/>
        <w:snapToGrid w:val="0"/>
        <w:spacing w:after="0" w:line="240" w:lineRule="auto"/>
        <w:jc w:val="both"/>
        <w:rPr>
          <w:rFonts w:ascii="Times New Roman" w:hAnsi="Times New Roman" w:eastAsia="宋体"/>
          <w:b/>
          <w:i/>
          <w:sz w:val="20"/>
          <w:szCs w:val="20"/>
        </w:rPr>
      </w:pPr>
      <w:bookmarkStart w:id="23" w:name="_Ref18405"/>
      <w:bookmarkStart w:id="24" w:name="_Ref12141"/>
      <w:bookmarkStart w:id="25" w:name="_Ref6952"/>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11</w:t>
      </w:r>
      <w:r>
        <w:rPr>
          <w:rFonts w:ascii="Times New Roman" w:hAnsi="Times New Roman"/>
          <w:b/>
          <w:i/>
          <w:sz w:val="20"/>
          <w:szCs w:val="20"/>
        </w:rPr>
        <w:fldChar w:fldCharType="end"/>
      </w:r>
      <w:r>
        <w:rPr>
          <w:rFonts w:hint="eastAsia" w:ascii="Times New Roman" w:hAnsi="Times New Roman"/>
          <w:b/>
          <w:i/>
          <w:sz w:val="20"/>
          <w:szCs w:val="20"/>
        </w:rPr>
        <w:t>:</w:t>
      </w:r>
      <w:r>
        <w:rPr>
          <w:rFonts w:ascii="Times New Roman" w:hAnsi="Times New Roman"/>
          <w:b/>
          <w:i/>
          <w:sz w:val="20"/>
          <w:szCs w:val="20"/>
        </w:rPr>
        <w:t xml:space="preserve"> </w:t>
      </w:r>
      <w:bookmarkEnd w:id="23"/>
      <w:bookmarkEnd w:id="24"/>
      <w:r>
        <w:rPr>
          <w:rFonts w:ascii="Times New Roman" w:hAnsi="Times New Roman"/>
          <w:b/>
          <w:i/>
          <w:sz w:val="20"/>
          <w:szCs w:val="20"/>
        </w:rPr>
        <w:t>To address the impact of the phase delays on Tx/Rx RF chains, support</w:t>
      </w:r>
      <w:r>
        <w:rPr>
          <w:rFonts w:hint="eastAsia" w:ascii="Times New Roman" w:hAnsi="Times New Roman"/>
          <w:b/>
          <w:i/>
          <w:sz w:val="20"/>
          <w:szCs w:val="20"/>
        </w:rPr>
        <w:t xml:space="preserve"> </w:t>
      </w:r>
      <w:r>
        <w:rPr>
          <w:rFonts w:ascii="Times New Roman" w:hAnsi="Times New Roman"/>
          <w:b/>
          <w:i/>
          <w:sz w:val="20"/>
          <w:szCs w:val="20"/>
        </w:rPr>
        <w:t>the following option:</w:t>
      </w:r>
      <w:bookmarkEnd w:id="25"/>
    </w:p>
    <w:p>
      <w:pPr>
        <w:numPr>
          <w:ilvl w:val="0"/>
          <w:numId w:val="5"/>
        </w:numPr>
        <w:adjustRightInd w:val="0"/>
        <w:snapToGrid w:val="0"/>
        <w:spacing w:after="0" w:line="240" w:lineRule="auto"/>
        <w:contextualSpacing/>
        <w:jc w:val="both"/>
        <w:rPr>
          <w:rFonts w:ascii="Times New Roman" w:hAnsi="Times New Roman"/>
          <w:b/>
          <w:i/>
          <w:sz w:val="20"/>
          <w:szCs w:val="20"/>
        </w:rPr>
      </w:pPr>
      <w:r>
        <w:rPr>
          <w:rFonts w:ascii="Times New Roman" w:hAnsi="Times New Roman"/>
          <w:b/>
          <w:i/>
          <w:sz w:val="20"/>
          <w:szCs w:val="20"/>
        </w:rPr>
        <w:t xml:space="preserve">Option 1a: introduce the definition of UE/TRP Tx/Rx phase error groups (PEGs) for the Tx/Rx of DL PRS/UL SRS signals </w:t>
      </w:r>
    </w:p>
    <w:p>
      <w:pPr>
        <w:numPr>
          <w:ilvl w:val="1"/>
          <w:numId w:val="5"/>
        </w:numPr>
        <w:adjustRightInd w:val="0"/>
        <w:snapToGrid w:val="0"/>
        <w:spacing w:after="0" w:line="240" w:lineRule="auto"/>
        <w:contextualSpacing/>
        <w:jc w:val="both"/>
        <w:rPr>
          <w:rFonts w:ascii="Times New Roman" w:hAnsi="Times New Roman"/>
          <w:b/>
          <w:i/>
          <w:sz w:val="20"/>
          <w:szCs w:val="20"/>
        </w:rPr>
      </w:pPr>
      <w:r>
        <w:rPr>
          <w:rFonts w:ascii="Times New Roman" w:hAnsi="Times New Roman"/>
          <w:b/>
          <w:i/>
          <w:sz w:val="20"/>
          <w:szCs w:val="20"/>
        </w:rPr>
        <w:t>Rel-17 definitions of UE/TRP Tx/Rx TEGs can be used as the starting point for defining UE/TRP Tx/Rx PEGs.</w:t>
      </w:r>
    </w:p>
    <w:p>
      <w:pPr>
        <w:numPr>
          <w:ilvl w:val="0"/>
          <w:numId w:val="0"/>
        </w:numPr>
        <w:adjustRightInd w:val="0"/>
        <w:snapToGrid w:val="0"/>
        <w:spacing w:after="0" w:line="240" w:lineRule="auto"/>
        <w:contextualSpacing/>
        <w:jc w:val="both"/>
        <w:rPr>
          <w:rFonts w:ascii="Times New Roman" w:hAnsi="Times New Roman"/>
          <w:b/>
          <w:i/>
          <w:sz w:val="20"/>
          <w:szCs w:val="20"/>
        </w:rPr>
      </w:pPr>
    </w:p>
    <w:bookmarkEnd w:id="5"/>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Conclusion</w:t>
      </w:r>
    </w:p>
    <w:p>
      <w:pPr>
        <w:autoSpaceDE w:val="0"/>
        <w:autoSpaceDN w:val="0"/>
        <w:adjustRightInd w:val="0"/>
        <w:snapToGrid w:val="0"/>
        <w:spacing w:before="180" w:beforeLines="50" w:after="180" w:afterLines="50"/>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carrier phase measurement based positioning techniques</w:t>
      </w:r>
      <w:r>
        <w:rPr>
          <w:rFonts w:hint="eastAsia" w:ascii="Times New Roman" w:hAnsi="Times New Roman"/>
          <w:iCs/>
          <w:sz w:val="20"/>
          <w:szCs w:val="20"/>
        </w:rPr>
        <w:t>, proposals are listed as follows:</w:t>
      </w:r>
    </w:p>
    <w:p>
      <w:pPr>
        <w:autoSpaceDE w:val="0"/>
        <w:autoSpaceDN w:val="0"/>
        <w:adjustRightInd w:val="0"/>
        <w:snapToGrid w:val="0"/>
        <w:spacing w:after="0"/>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_Ref7001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 xml:space="preserve">Proposal 1: </w:t>
      </w:r>
      <w:r>
        <w:rPr>
          <w:rFonts w:hint="default" w:ascii="Times New Roman" w:hAnsi="Times New Roman" w:cs="Times New Roman"/>
          <w:b/>
          <w:bCs/>
          <w:i/>
          <w:iCs w:val="0"/>
          <w:sz w:val="20"/>
          <w:szCs w:val="20"/>
          <w:lang w:eastAsia="ja-JP"/>
        </w:rPr>
        <w:t xml:space="preserve">Support the following definition </w:t>
      </w:r>
      <w:r>
        <w:rPr>
          <w:rFonts w:hint="default" w:ascii="Times New Roman" w:hAnsi="Times New Roman" w:cs="Times New Roman"/>
          <w:b/>
          <w:bCs/>
          <w:i/>
          <w:iCs w:val="0"/>
          <w:sz w:val="20"/>
          <w:szCs w:val="20"/>
        </w:rPr>
        <w:t>for</w:t>
      </w:r>
      <w:r>
        <w:rPr>
          <w:rFonts w:hint="default" w:ascii="Times New Roman" w:hAnsi="Times New Roman" w:cs="Times New Roman"/>
          <w:b/>
          <w:bCs/>
          <w:i/>
          <w:iCs w:val="0"/>
          <w:sz w:val="20"/>
          <w:szCs w:val="20"/>
          <w:lang w:eastAsia="ja-JP"/>
        </w:rPr>
        <w:t xml:space="preserve"> reference point of the UE/TRP carrier phase measurements</w:t>
      </w:r>
      <w:r>
        <w:rPr>
          <w:rFonts w:hint="default" w:ascii="Times New Roman" w:hAnsi="Times New Roman" w:cs="Times New Roman"/>
          <w:b/>
          <w:bCs/>
          <w:i/>
          <w:iCs w:val="0"/>
          <w:sz w:val="20"/>
          <w:szCs w:val="20"/>
        </w:rPr>
        <w:t>:</w:t>
      </w:r>
      <w:r>
        <w:rPr>
          <w:rFonts w:hint="default" w:ascii="Times New Roman" w:hAnsi="Times New Roman" w:cs="Times New Roman"/>
          <w:b/>
          <w:bCs/>
          <w:i/>
          <w:iCs w:val="0"/>
          <w:sz w:val="20"/>
          <w:szCs w:val="20"/>
        </w:rPr>
        <w:fldChar w:fldCharType="end"/>
      </w:r>
    </w:p>
    <w:p>
      <w:pPr>
        <w:pStyle w:val="95"/>
        <w:numPr>
          <w:ilvl w:val="0"/>
          <w:numId w:val="4"/>
        </w:numPr>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 xml:space="preserve">Option 1: </w:t>
      </w:r>
    </w:p>
    <w:p>
      <w:pPr>
        <w:pStyle w:val="95"/>
        <w:numPr>
          <w:ilvl w:val="1"/>
          <w:numId w:val="4"/>
        </w:numPr>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The reference point of the UE carrier phase measurements is defined the same as the reference point of RSTD for frequency range 1 and frequency range 2.</w:t>
      </w:r>
    </w:p>
    <w:p>
      <w:pPr>
        <w:pStyle w:val="95"/>
        <w:numPr>
          <w:ilvl w:val="1"/>
          <w:numId w:val="4"/>
        </w:numPr>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The reference point of the TRP carrier phase measurements is defined the same as the reference point of RTOA for frequency range 1 and frequency range 2.</w:t>
      </w:r>
    </w:p>
    <w:p>
      <w:pPr>
        <w:pStyle w:val="95"/>
        <w:numPr>
          <w:ilvl w:val="1"/>
          <w:numId w:val="4"/>
        </w:numPr>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Note: It is up to UE/TRP’s implementation on how to map the carrier phase to the reference point for reporting.</w:t>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_Ref12793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 xml:space="preserve">Proposal 2: </w:t>
      </w:r>
      <w:r>
        <w:rPr>
          <w:rFonts w:hint="default" w:ascii="Times New Roman" w:hAnsi="Times New Roman" w:cs="Times New Roman"/>
          <w:b/>
          <w:bCs/>
          <w:i/>
          <w:iCs w:val="0"/>
          <w:sz w:val="20"/>
          <w:szCs w:val="20"/>
          <w:lang w:val="en-US" w:eastAsia="zh-CN"/>
        </w:rPr>
        <w:t xml:space="preserve">For signalling concerning the integer ambiguity, at least support LMF providing the range </w:t>
      </w:r>
      <w:r>
        <w:rPr>
          <w:rFonts w:hint="default" w:ascii="Times New Roman" w:hAnsi="Times New Roman" w:cs="Times New Roman"/>
          <w:b/>
          <w:bCs/>
          <w:i/>
          <w:iCs w:val="0"/>
          <w:sz w:val="20"/>
          <w:szCs w:val="20"/>
        </w:rPr>
        <w:t xml:space="preserve">of integer </w:t>
      </w:r>
      <w:r>
        <w:rPr>
          <w:rFonts w:hint="default" w:ascii="Times New Roman" w:hAnsi="Times New Roman" w:cs="Times New Roman"/>
          <w:b/>
          <w:bCs/>
          <w:i/>
          <w:iCs w:val="0"/>
          <w:sz w:val="20"/>
          <w:szCs w:val="20"/>
          <w:lang w:val="en-US" w:eastAsia="zh-CN"/>
        </w:rPr>
        <w:t xml:space="preserve">to UE </w:t>
      </w:r>
      <w:r>
        <w:rPr>
          <w:rFonts w:hint="default" w:ascii="Times New Roman" w:hAnsi="Times New Roman" w:cs="Times New Roman"/>
          <w:b/>
          <w:bCs/>
          <w:i/>
          <w:iCs w:val="0"/>
          <w:sz w:val="20"/>
          <w:szCs w:val="20"/>
        </w:rPr>
        <w:t>for UE</w:t>
      </w:r>
      <w:r>
        <w:rPr>
          <w:rFonts w:hint="default" w:ascii="Times New Roman" w:hAnsi="Times New Roman" w:cs="Times New Roman"/>
          <w:b/>
          <w:bCs/>
          <w:i/>
          <w:iCs w:val="0"/>
          <w:sz w:val="20"/>
          <w:szCs w:val="20"/>
          <w:lang w:val="en-US" w:eastAsia="zh-CN"/>
        </w:rPr>
        <w:t>-</w:t>
      </w:r>
      <w:r>
        <w:rPr>
          <w:rFonts w:hint="default" w:ascii="Times New Roman" w:hAnsi="Times New Roman" w:cs="Times New Roman"/>
          <w:b/>
          <w:bCs/>
          <w:i/>
          <w:iCs w:val="0"/>
          <w:sz w:val="20"/>
          <w:szCs w:val="20"/>
        </w:rPr>
        <w:t xml:space="preserve">based </w:t>
      </w:r>
      <w:r>
        <w:rPr>
          <w:rFonts w:hint="default" w:ascii="Times New Roman" w:hAnsi="Times New Roman" w:cs="Times New Roman"/>
          <w:b/>
          <w:bCs/>
          <w:i/>
          <w:iCs w:val="0"/>
          <w:sz w:val="20"/>
          <w:szCs w:val="20"/>
          <w:lang w:val="en-US" w:eastAsia="zh-CN"/>
        </w:rPr>
        <w:t xml:space="preserve">NR </w:t>
      </w:r>
      <w:r>
        <w:rPr>
          <w:rFonts w:hint="default" w:ascii="Times New Roman" w:hAnsi="Times New Roman" w:cs="Times New Roman"/>
          <w:b/>
          <w:bCs/>
          <w:i/>
          <w:iCs w:val="0"/>
          <w:sz w:val="20"/>
          <w:szCs w:val="20"/>
        </w:rPr>
        <w:t>carrier phase positioning.</w:t>
      </w:r>
      <w:r>
        <w:rPr>
          <w:rFonts w:hint="default" w:ascii="Times New Roman" w:hAnsi="Times New Roman" w:cs="Times New Roman"/>
          <w:b/>
          <w:bCs/>
          <w:i/>
          <w:iCs w:val="0"/>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_Ref18399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 xml:space="preserve">Proposal 3: </w:t>
      </w:r>
      <w:r>
        <w:rPr>
          <w:rFonts w:hint="default" w:ascii="Times New Roman" w:hAnsi="Times New Roman" w:cs="Times New Roman"/>
          <w:b/>
          <w:bCs/>
          <w:i/>
          <w:iCs w:val="0"/>
          <w:sz w:val="20"/>
          <w:szCs w:val="20"/>
          <w:lang w:val="en-US" w:eastAsia="zh-CN"/>
        </w:rPr>
        <w:t>Support UE/TRP reporting the carrier phase measurement quality together with the phase measurement result</w:t>
      </w:r>
      <w:r>
        <w:rPr>
          <w:rFonts w:hint="default" w:ascii="Times New Roman" w:hAnsi="Times New Roman" w:cs="Times New Roman"/>
          <w:b/>
          <w:bCs/>
          <w:i/>
          <w:iCs w:val="0"/>
          <w:sz w:val="20"/>
          <w:szCs w:val="20"/>
        </w:rPr>
        <w:t>.</w:t>
      </w:r>
      <w:r>
        <w:rPr>
          <w:rFonts w:hint="default" w:ascii="Times New Roman" w:hAnsi="Times New Roman" w:cs="Times New Roman"/>
          <w:b/>
          <w:bCs/>
          <w:i/>
          <w:iCs w:val="0"/>
          <w:sz w:val="20"/>
          <w:szCs w:val="20"/>
        </w:rPr>
        <w:fldChar w:fldCharType="end"/>
      </w:r>
    </w:p>
    <w:p>
      <w:pPr>
        <w:autoSpaceDE w:val="0"/>
        <w:autoSpaceDN w:val="0"/>
        <w:adjustRightInd w:val="0"/>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_Ref7641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 xml:space="preserve">Proposal 4: </w:t>
      </w:r>
      <w:r>
        <w:rPr>
          <w:rFonts w:hint="default" w:ascii="Times New Roman" w:hAnsi="Times New Roman" w:cs="Times New Roman"/>
          <w:b/>
          <w:bCs/>
          <w:i/>
          <w:iCs w:val="0"/>
          <w:sz w:val="20"/>
          <w:szCs w:val="20"/>
          <w:lang w:eastAsia="ja-JP"/>
        </w:rPr>
        <w:t xml:space="preserve">Adopt the following option for a timestamp associated with a </w:t>
      </w:r>
      <w:r>
        <w:rPr>
          <w:rFonts w:hint="default" w:ascii="Times New Roman" w:hAnsi="Times New Roman" w:cs="Times New Roman"/>
          <w:b/>
          <w:bCs/>
          <w:i/>
          <w:iCs w:val="0"/>
          <w:sz w:val="20"/>
          <w:szCs w:val="20"/>
        </w:rPr>
        <w:t xml:space="preserve">reported </w:t>
      </w:r>
      <w:r>
        <w:rPr>
          <w:rFonts w:hint="default" w:ascii="Times New Roman" w:hAnsi="Times New Roman" w:cs="Times New Roman"/>
          <w:b/>
          <w:bCs/>
          <w:i/>
          <w:iCs w:val="0"/>
          <w:sz w:val="20"/>
          <w:szCs w:val="20"/>
          <w:lang w:eastAsia="ja-JP"/>
        </w:rPr>
        <w:t>RSCP/RSCPD measurement):</w:t>
      </w:r>
      <w:r>
        <w:rPr>
          <w:rFonts w:hint="default" w:ascii="Times New Roman" w:hAnsi="Times New Roman" w:cs="Times New Roman"/>
          <w:b/>
          <w:bCs/>
          <w:i/>
          <w:iCs w:val="0"/>
          <w:sz w:val="20"/>
          <w:szCs w:val="20"/>
        </w:rPr>
        <w:t xml:space="preserve"> </w:t>
      </w:r>
      <w:r>
        <w:rPr>
          <w:rFonts w:hint="default" w:ascii="Times New Roman" w:hAnsi="Times New Roman" w:cs="Times New Roman"/>
          <w:b/>
          <w:bCs/>
          <w:i/>
          <w:iCs w:val="0"/>
          <w:sz w:val="20"/>
          <w:szCs w:val="20"/>
        </w:rPr>
        <w:fldChar w:fldCharType="end"/>
      </w:r>
    </w:p>
    <w:p>
      <w:pPr>
        <w:numPr>
          <w:ilvl w:val="0"/>
          <w:numId w:val="5"/>
        </w:numPr>
        <w:adjustRightInd w:val="0"/>
        <w:snapToGrid w:val="0"/>
        <w:spacing w:after="0" w:line="240" w:lineRule="auto"/>
        <w:contextualSpacing/>
        <w:jc w:val="both"/>
        <w:rPr>
          <w:rFonts w:hint="default" w:ascii="Times New Roman" w:hAnsi="Times New Roman" w:cs="Times New Roman"/>
          <w:b/>
          <w:bCs/>
          <w:i/>
          <w:iCs w:val="0"/>
          <w:sz w:val="20"/>
          <w:szCs w:val="20"/>
          <w:lang w:eastAsia="ja-JP"/>
        </w:rPr>
      </w:pPr>
      <w:r>
        <w:rPr>
          <w:rFonts w:hint="default" w:ascii="Times New Roman" w:hAnsi="Times New Roman" w:cs="Times New Roman"/>
          <w:b/>
          <w:bCs/>
          <w:i/>
          <w:iCs w:val="0"/>
          <w:sz w:val="20"/>
          <w:szCs w:val="20"/>
        </w:rPr>
        <w:t>Option 1:</w:t>
      </w:r>
    </w:p>
    <w:p>
      <w:pPr>
        <w:numPr>
          <w:ilvl w:val="1"/>
          <w:numId w:val="5"/>
        </w:numPr>
        <w:adjustRightInd w:val="0"/>
        <w:snapToGrid w:val="0"/>
        <w:spacing w:after="0" w:line="240" w:lineRule="auto"/>
        <w:contextualSpacing/>
        <w:jc w:val="both"/>
        <w:rPr>
          <w:rFonts w:hint="default" w:ascii="Times New Roman" w:hAnsi="Times New Roman" w:eastAsia="宋体" w:cs="Times New Roman"/>
          <w:b/>
          <w:bCs/>
          <w:i/>
          <w:iCs w:val="0"/>
          <w:sz w:val="20"/>
          <w:szCs w:val="20"/>
        </w:rPr>
      </w:pPr>
      <w:r>
        <w:rPr>
          <w:rFonts w:hint="default" w:ascii="Times New Roman" w:hAnsi="Times New Roman" w:cs="Times New Roman"/>
          <w:b/>
          <w:bCs/>
          <w:i/>
          <w:iCs w:val="0"/>
          <w:sz w:val="20"/>
          <w:szCs w:val="20"/>
        </w:rPr>
        <w:t xml:space="preserve">NR-TimeStamp, currently defined in TS 37.355, is reused as the timestamp with the granularity of a slot. </w:t>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_Ref18301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 xml:space="preserve">Proposal 5: </w:t>
      </w:r>
      <w:r>
        <w:rPr>
          <w:rFonts w:hint="default" w:ascii="Times New Roman" w:hAnsi="Times New Roman" w:cs="Times New Roman"/>
          <w:b/>
          <w:bCs/>
          <w:i/>
          <w:iCs w:val="0"/>
          <w:sz w:val="20"/>
          <w:szCs w:val="20"/>
          <w:lang w:val="en-US" w:eastAsia="zh-CN"/>
        </w:rPr>
        <w:t>Support UE/TRP reporting the carrier phase of the first path only at least for Rel-18.</w:t>
      </w:r>
      <w:r>
        <w:rPr>
          <w:rFonts w:hint="default" w:ascii="Times New Roman" w:hAnsi="Times New Roman" w:cs="Times New Roman"/>
          <w:b/>
          <w:bCs/>
          <w:i/>
          <w:iCs w:val="0"/>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_Ref12105 \h </w:instrText>
      </w:r>
      <w:r>
        <w:rPr>
          <w:rFonts w:hint="default" w:ascii="Times New Roman" w:hAnsi="Times New Roman" w:cs="Times New Roman"/>
          <w:b/>
          <w:bCs/>
          <w:i/>
          <w:iCs w:val="0"/>
          <w:sz w:val="20"/>
          <w:szCs w:val="20"/>
        </w:rPr>
        <w:fldChar w:fldCharType="separate"/>
      </w:r>
      <w:r>
        <w:rPr>
          <w:rFonts w:hint="default" w:ascii="Times New Roman" w:hAnsi="Times New Roman" w:eastAsia="宋体" w:cs="Times New Roman"/>
          <w:b/>
          <w:bCs/>
          <w:i/>
          <w:iCs w:val="0"/>
          <w:sz w:val="20"/>
          <w:szCs w:val="20"/>
        </w:rPr>
        <w:t xml:space="preserve">Proposal 6: </w:t>
      </w:r>
      <w:r>
        <w:rPr>
          <w:rFonts w:hint="default" w:ascii="Times New Roman" w:hAnsi="Times New Roman" w:eastAsia="宋体" w:cs="Times New Roman"/>
          <w:b/>
          <w:bCs/>
          <w:i/>
          <w:iCs w:val="0"/>
          <w:sz w:val="20"/>
          <w:szCs w:val="20"/>
          <w:lang w:val="en-US" w:eastAsia="zh-CN"/>
        </w:rPr>
        <w:t>For DL UE-based carrier phase positioning, the ARP or carrier phase error of the TRP can be delivered by LMF.</w:t>
      </w:r>
      <w:r>
        <w:rPr>
          <w:rFonts w:hint="default" w:ascii="Times New Roman" w:hAnsi="Times New Roman" w:cs="Times New Roman"/>
          <w:b/>
          <w:bCs/>
          <w:i/>
          <w:iCs w:val="0"/>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_Ref12108 \h </w:instrText>
      </w:r>
      <w:r>
        <w:rPr>
          <w:rFonts w:hint="default" w:ascii="Times New Roman" w:hAnsi="Times New Roman" w:cs="Times New Roman"/>
          <w:b/>
          <w:bCs/>
          <w:i/>
          <w:iCs w:val="0"/>
          <w:sz w:val="20"/>
          <w:szCs w:val="20"/>
        </w:rPr>
        <w:fldChar w:fldCharType="separate"/>
      </w:r>
      <w:r>
        <w:rPr>
          <w:rFonts w:hint="default" w:ascii="Times New Roman" w:hAnsi="Times New Roman" w:eastAsia="宋体" w:cs="Times New Roman"/>
          <w:b/>
          <w:bCs/>
          <w:i/>
          <w:iCs w:val="0"/>
          <w:sz w:val="20"/>
          <w:szCs w:val="20"/>
        </w:rPr>
        <w:t>Proposal 7:</w:t>
      </w:r>
      <w:r>
        <w:rPr>
          <w:rFonts w:hint="default" w:ascii="Times New Roman" w:hAnsi="Times New Roman" w:eastAsia="宋体" w:cs="Times New Roman"/>
          <w:b/>
          <w:bCs/>
          <w:i/>
          <w:iCs w:val="0"/>
          <w:sz w:val="20"/>
          <w:szCs w:val="20"/>
          <w:lang w:val="en-US" w:eastAsia="zh-CN"/>
        </w:rPr>
        <w:t xml:space="preserve"> For UE-based carrier phase positioning, the carrier phase error can be reported by PRU to LMF.</w:t>
      </w:r>
      <w:r>
        <w:rPr>
          <w:rFonts w:hint="default" w:ascii="Times New Roman" w:hAnsi="Times New Roman" w:cs="Times New Roman"/>
          <w:b/>
          <w:bCs/>
          <w:i/>
          <w:iCs w:val="0"/>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_Ref18323 \h </w:instrText>
      </w:r>
      <w:r>
        <w:rPr>
          <w:rFonts w:hint="default" w:ascii="Times New Roman" w:hAnsi="Times New Roman" w:cs="Times New Roman"/>
          <w:b/>
          <w:bCs/>
          <w:i/>
          <w:iCs w:val="0"/>
          <w:sz w:val="20"/>
          <w:szCs w:val="20"/>
        </w:rPr>
        <w:fldChar w:fldCharType="separate"/>
      </w:r>
      <w:r>
        <w:rPr>
          <w:rFonts w:hint="default" w:ascii="Times New Roman" w:hAnsi="Times New Roman" w:eastAsia="宋体" w:cs="Times New Roman"/>
          <w:b/>
          <w:bCs/>
          <w:i/>
          <w:iCs w:val="0"/>
          <w:sz w:val="20"/>
          <w:szCs w:val="20"/>
        </w:rPr>
        <w:t>Proposal 8:</w:t>
      </w:r>
      <w:r>
        <w:rPr>
          <w:rFonts w:hint="default" w:ascii="Times New Roman" w:hAnsi="Times New Roman" w:eastAsia="宋体" w:cs="Times New Roman"/>
          <w:b/>
          <w:bCs/>
          <w:i/>
          <w:iCs w:val="0"/>
          <w:sz w:val="20"/>
          <w:szCs w:val="20"/>
          <w:lang w:val="en-US" w:eastAsia="zh-CN"/>
        </w:rPr>
        <w:t xml:space="preserve"> For UE-based carrier phase positioning, support LMF forwarding the carrier phase measurement results of the PRU to the target UE.</w:t>
      </w:r>
      <w:r>
        <w:rPr>
          <w:rFonts w:hint="default" w:ascii="Times New Roman" w:hAnsi="Times New Roman" w:cs="Times New Roman"/>
          <w:b/>
          <w:bCs/>
          <w:i/>
          <w:iCs w:val="0"/>
          <w:sz w:val="20"/>
          <w:szCs w:val="20"/>
        </w:rPr>
        <w:fldChar w:fldCharType="end"/>
      </w:r>
    </w:p>
    <w:p>
      <w:pPr>
        <w:autoSpaceDE w:val="0"/>
        <w:autoSpaceDN w:val="0"/>
        <w:adjustRightInd w:val="0"/>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_Ref31713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Proposal 9: Support measuring and reporting the carrier phase of multiple sub-carriers/segments in one carrier/PFL</w:t>
      </w:r>
      <w:r>
        <w:rPr>
          <w:rFonts w:hint="default" w:ascii="Times New Roman" w:hAnsi="Times New Roman" w:cs="Times New Roman"/>
          <w:b/>
          <w:bCs/>
          <w:i/>
          <w:iCs w:val="0"/>
          <w:sz w:val="20"/>
          <w:szCs w:val="20"/>
        </w:rPr>
        <w:fldChar w:fldCharType="end"/>
      </w:r>
      <w:r>
        <w:rPr>
          <w:rFonts w:hint="default" w:ascii="Times New Roman" w:hAnsi="Times New Roman" w:cs="Times New Roman"/>
          <w:b/>
          <w:bCs/>
          <w:i/>
          <w:iCs w:val="0"/>
          <w:sz w:val="20"/>
          <w:szCs w:val="20"/>
        </w:rPr>
        <w:t xml:space="preserve">. </w:t>
      </w:r>
    </w:p>
    <w:p>
      <w:pPr>
        <w:autoSpaceDE w:val="0"/>
        <w:autoSpaceDN w:val="0"/>
        <w:adjustRightInd w:val="0"/>
        <w:snapToGrid w:val="0"/>
        <w:spacing w:after="180" w:afterLines="50" w:line="240" w:lineRule="auto"/>
        <w:ind w:firstLine="720"/>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 center frequency or λ should be informed for each selected sub-carrier/segment.</w:t>
      </w:r>
    </w:p>
    <w:p>
      <w:pPr>
        <w:autoSpaceDE w:val="0"/>
        <w:autoSpaceDN w:val="0"/>
        <w:adjustRightInd w:val="0"/>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_Ref18376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 xml:space="preserve">Proposal 10: If a UE/TRP </w:t>
      </w:r>
      <w:r>
        <w:rPr>
          <w:rFonts w:hint="default" w:ascii="Times New Roman" w:hAnsi="Times New Roman" w:cs="Times New Roman"/>
          <w:b/>
          <w:bCs/>
          <w:i/>
          <w:iCs w:val="0"/>
          <w:sz w:val="20"/>
          <w:szCs w:val="20"/>
          <w:lang w:val="en-US" w:eastAsia="zh-CN"/>
        </w:rPr>
        <w:t>supports</w:t>
      </w:r>
      <w:r>
        <w:rPr>
          <w:rFonts w:hint="default" w:ascii="Times New Roman" w:hAnsi="Times New Roman" w:cs="Times New Roman"/>
          <w:b/>
          <w:bCs/>
          <w:i/>
          <w:iCs w:val="0"/>
          <w:sz w:val="20"/>
          <w:szCs w:val="20"/>
        </w:rPr>
        <w:t xml:space="preserve"> the carrier phase measurements of more than one frequencies within a PFL/carrier, the following enhancement can be supported:</w:t>
      </w:r>
      <w:r>
        <w:rPr>
          <w:rFonts w:hint="default" w:ascii="Times New Roman" w:hAnsi="Times New Roman" w:cs="Times New Roman"/>
          <w:b/>
          <w:bCs/>
          <w:i/>
          <w:iCs w:val="0"/>
          <w:sz w:val="20"/>
          <w:szCs w:val="20"/>
        </w:rPr>
        <w:fldChar w:fldCharType="end"/>
      </w:r>
    </w:p>
    <w:p>
      <w:pPr>
        <w:autoSpaceDE w:val="0"/>
        <w:autoSpaceDN w:val="0"/>
        <w:adjustRightInd w:val="0"/>
        <w:snapToGrid w:val="0"/>
        <w:spacing w:after="0" w:line="240" w:lineRule="auto"/>
        <w:ind w:firstLine="720"/>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-LMF configures the number of PRBs/sub-carriers for each carrier phase measurement report.</w:t>
      </w:r>
    </w:p>
    <w:p>
      <w:pPr>
        <w:autoSpaceDE w:val="0"/>
        <w:autoSpaceDN w:val="0"/>
        <w:adjustRightInd w:val="0"/>
        <w:snapToGrid w:val="0"/>
        <w:spacing w:after="180" w:afterLines="50" w:line="240" w:lineRule="auto"/>
        <w:ind w:firstLine="720"/>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-LMF configures the number of carrier phase measurement reports for each PFL/carrier.</w:t>
      </w:r>
    </w:p>
    <w:p>
      <w:pPr>
        <w:autoSpaceDE w:val="0"/>
        <w:autoSpaceDN w:val="0"/>
        <w:adjustRightInd w:val="0"/>
        <w:snapToGrid w:val="0"/>
        <w:spacing w:after="0" w:line="240" w:lineRule="auto"/>
        <w:jc w:val="both"/>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fldChar w:fldCharType="begin"/>
      </w:r>
      <w:r>
        <w:rPr>
          <w:rFonts w:hint="default" w:ascii="Times New Roman" w:hAnsi="Times New Roman" w:cs="Times New Roman"/>
          <w:b/>
          <w:bCs/>
          <w:i/>
          <w:iCs w:val="0"/>
          <w:sz w:val="20"/>
          <w:szCs w:val="20"/>
        </w:rPr>
        <w:instrText xml:space="preserve"> REF _Ref6952 \h </w:instrText>
      </w:r>
      <w:r>
        <w:rPr>
          <w:rFonts w:hint="default" w:ascii="Times New Roman" w:hAnsi="Times New Roman" w:cs="Times New Roman"/>
          <w:b/>
          <w:bCs/>
          <w:i/>
          <w:iCs w:val="0"/>
          <w:sz w:val="20"/>
          <w:szCs w:val="20"/>
        </w:rPr>
        <w:fldChar w:fldCharType="separate"/>
      </w:r>
      <w:r>
        <w:rPr>
          <w:rFonts w:hint="default" w:ascii="Times New Roman" w:hAnsi="Times New Roman" w:cs="Times New Roman"/>
          <w:b/>
          <w:bCs/>
          <w:i/>
          <w:iCs w:val="0"/>
          <w:sz w:val="20"/>
          <w:szCs w:val="20"/>
        </w:rPr>
        <w:t>Proposal 11: To address the impact of the phase delays on Tx/Rx RF chains, support the following option:</w:t>
      </w:r>
      <w:r>
        <w:rPr>
          <w:rFonts w:hint="default" w:ascii="Times New Roman" w:hAnsi="Times New Roman" w:cs="Times New Roman"/>
          <w:b/>
          <w:bCs/>
          <w:i/>
          <w:iCs w:val="0"/>
          <w:sz w:val="20"/>
          <w:szCs w:val="20"/>
        </w:rPr>
        <w:fldChar w:fldCharType="end"/>
      </w:r>
    </w:p>
    <w:p>
      <w:pPr>
        <w:numPr>
          <w:ilvl w:val="0"/>
          <w:numId w:val="5"/>
        </w:numPr>
        <w:adjustRightInd w:val="0"/>
        <w:snapToGrid w:val="0"/>
        <w:spacing w:after="0" w:line="240" w:lineRule="auto"/>
        <w:contextualSpacing/>
        <w:jc w:val="both"/>
        <w:rPr>
          <w:rFonts w:ascii="Times New Roman" w:hAnsi="Times New Roman"/>
          <w:b/>
          <w:i/>
          <w:sz w:val="20"/>
          <w:szCs w:val="20"/>
        </w:rPr>
      </w:pPr>
      <w:r>
        <w:rPr>
          <w:rFonts w:ascii="Times New Roman" w:hAnsi="Times New Roman"/>
          <w:b/>
          <w:i/>
          <w:sz w:val="20"/>
          <w:szCs w:val="20"/>
        </w:rPr>
        <w:t xml:space="preserve">Option 1a: introduce the definition of UE/TRP Tx/Rx phase error groups (PEGs) for the Tx/Rx of DL PRS/UL SRS signals </w:t>
      </w:r>
    </w:p>
    <w:p>
      <w:pPr>
        <w:numPr>
          <w:ilvl w:val="1"/>
          <w:numId w:val="5"/>
        </w:numPr>
        <w:adjustRightInd w:val="0"/>
        <w:snapToGrid w:val="0"/>
        <w:spacing w:after="0" w:line="240" w:lineRule="auto"/>
        <w:contextualSpacing/>
        <w:jc w:val="both"/>
        <w:rPr>
          <w:rFonts w:ascii="Times New Roman" w:hAnsi="Times New Roman"/>
          <w:b/>
          <w:i/>
          <w:sz w:val="20"/>
          <w:szCs w:val="20"/>
        </w:rPr>
      </w:pPr>
      <w:r>
        <w:rPr>
          <w:rFonts w:ascii="Times New Roman" w:hAnsi="Times New Roman"/>
          <w:b/>
          <w:i/>
          <w:sz w:val="20"/>
          <w:szCs w:val="20"/>
        </w:rPr>
        <w:t>Rel-17 definitions of UE/TRP Tx/Rx TEGs can be used as the starting point for defining UE/TRP Tx/Rx PEGs.</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Reference</w:t>
      </w:r>
    </w:p>
    <w:p>
      <w:pPr>
        <w:numPr>
          <w:ilvl w:val="0"/>
          <w:numId w:val="9"/>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#112bis-e v0.1.0</w:t>
      </w:r>
      <w:r>
        <w:rPr>
          <w:rFonts w:hint="eastAsia" w:ascii="Times New Roman" w:hAnsi="Times New Roman" w:eastAsia="宋体"/>
          <w:sz w:val="20"/>
          <w:szCs w:val="20"/>
        </w:rPr>
        <w:t xml:space="preserve"> </w:t>
      </w:r>
      <w:r>
        <w:rPr>
          <w:rFonts w:ascii="Times New Roman" w:hAnsi="Times New Roman" w:eastAsia="宋体"/>
          <w:sz w:val="20"/>
          <w:szCs w:val="20"/>
        </w:rPr>
        <w:t>(Online, 17th - 26th April 2023).</w:t>
      </w:r>
    </w:p>
    <w:p>
      <w:pPr>
        <w:numPr>
          <w:ilvl w:val="0"/>
          <w:numId w:val="9"/>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 v0.4.0 (Athens, Greece, 27th February – 3rd March 2023)</w:t>
      </w:r>
      <w:r>
        <w:rPr>
          <w:rFonts w:hint="eastAsia" w:ascii="Times New Roman" w:hAnsi="Times New Roman" w:eastAsia="宋体"/>
          <w:sz w:val="20"/>
          <w:szCs w:val="20"/>
        </w:rPr>
        <w:t>.</w:t>
      </w:r>
    </w:p>
    <w:p>
      <w:pPr>
        <w:numPr>
          <w:ilvl w:val="0"/>
          <w:numId w:val="9"/>
        </w:numPr>
        <w:autoSpaceDE w:val="0"/>
        <w:autoSpaceDN w:val="0"/>
        <w:adjustRightInd w:val="0"/>
        <w:snapToGrid w:val="0"/>
        <w:spacing w:after="0" w:line="240" w:lineRule="auto"/>
        <w:jc w:val="both"/>
        <w:rPr>
          <w:rFonts w:ascii="Times New Roman" w:hAnsi="Times New Roman" w:eastAsia="宋体"/>
          <w:sz w:val="20"/>
          <w:szCs w:val="20"/>
        </w:rPr>
      </w:pPr>
      <w:bookmarkStart w:id="26" w:name="_Ref113546592"/>
      <w:r>
        <w:rPr>
          <w:rFonts w:ascii="Times New Roman" w:hAnsi="Times New Roman" w:eastAsia="宋体"/>
          <w:sz w:val="20"/>
          <w:szCs w:val="20"/>
        </w:rPr>
        <w:t>RP-223549</w:t>
      </w:r>
      <w:r>
        <w:rPr>
          <w:rFonts w:hint="eastAsia" w:ascii="Times New Roman" w:hAnsi="Times New Roman" w:eastAsia="宋体"/>
          <w:sz w:val="20"/>
          <w:szCs w:val="20"/>
        </w:rPr>
        <w:t xml:space="preserve">, </w:t>
      </w:r>
      <w:r>
        <w:rPr>
          <w:rFonts w:ascii="Times New Roman" w:hAnsi="Times New Roman" w:eastAsia="宋体"/>
          <w:sz w:val="20"/>
          <w:szCs w:val="20"/>
        </w:rPr>
        <w:t>New WID on Expanded and Improved NR Positioning</w:t>
      </w:r>
      <w:r>
        <w:rPr>
          <w:rFonts w:hint="eastAsia" w:ascii="Times New Roman" w:hAnsi="Times New Roman" w:eastAsia="宋体"/>
          <w:sz w:val="20"/>
          <w:szCs w:val="20"/>
        </w:rPr>
        <w:t xml:space="preserve">, </w:t>
      </w:r>
      <w:r>
        <w:rPr>
          <w:rFonts w:ascii="Times New Roman" w:hAnsi="Times New Roman" w:eastAsia="宋体"/>
          <w:sz w:val="20"/>
          <w:szCs w:val="20"/>
        </w:rPr>
        <w:t>Intel Corporation, CATT, Ericsson</w:t>
      </w:r>
      <w:r>
        <w:rPr>
          <w:rFonts w:hint="eastAsia" w:ascii="Times New Roman" w:hAnsi="Times New Roman" w:eastAsia="宋体"/>
          <w:sz w:val="20"/>
          <w:szCs w:val="20"/>
        </w:rPr>
        <w:t xml:space="preserve">, </w:t>
      </w:r>
      <w:r>
        <w:rPr>
          <w:rFonts w:ascii="Times New Roman" w:hAnsi="Times New Roman" w:eastAsia="宋体"/>
          <w:sz w:val="20"/>
          <w:szCs w:val="20"/>
        </w:rPr>
        <w:t>3GPP TSG RAN Meeting #98-e</w:t>
      </w:r>
      <w:r>
        <w:rPr>
          <w:rFonts w:hint="eastAsia" w:ascii="Times New Roman" w:hAnsi="Times New Roman" w:eastAsia="宋体"/>
          <w:sz w:val="20"/>
          <w:szCs w:val="20"/>
        </w:rPr>
        <w:t>.</w:t>
      </w:r>
      <w:bookmarkEnd w:id="26"/>
    </w:p>
    <w:p>
      <w:pPr>
        <w:numPr>
          <w:ilvl w:val="0"/>
          <w:numId w:val="9"/>
        </w:numPr>
        <w:autoSpaceDE w:val="0"/>
        <w:autoSpaceDN w:val="0"/>
        <w:adjustRightInd w:val="0"/>
        <w:snapToGrid w:val="0"/>
        <w:spacing w:after="0" w:line="240" w:lineRule="auto"/>
        <w:jc w:val="both"/>
        <w:rPr>
          <w:rFonts w:ascii="Times New Roman" w:hAnsi="Times New Roman" w:eastAsia="宋体"/>
          <w:sz w:val="20"/>
          <w:szCs w:val="20"/>
        </w:rPr>
      </w:pPr>
      <w:bookmarkStart w:id="27" w:name="_Ref113987859"/>
      <w:r>
        <w:rPr>
          <w:rFonts w:ascii="Times New Roman" w:hAnsi="Times New Roman" w:eastAsia="宋体"/>
          <w:sz w:val="20"/>
          <w:szCs w:val="20"/>
        </w:rPr>
        <w:t>R1-2209215, Discussion on carrier phase measurement based positioning, ZTE, 3GPP RAN1#110b-e.</w:t>
      </w:r>
      <w:bookmarkEnd w:id="27"/>
    </w:p>
    <w:p>
      <w:pPr>
        <w:numPr>
          <w:ilvl w:val="0"/>
          <w:numId w:val="9"/>
        </w:numPr>
        <w:autoSpaceDE w:val="0"/>
        <w:autoSpaceDN w:val="0"/>
        <w:adjustRightInd w:val="0"/>
        <w:snapToGrid w:val="0"/>
        <w:spacing w:after="0" w:line="240" w:lineRule="auto"/>
        <w:jc w:val="both"/>
        <w:rPr>
          <w:rFonts w:ascii="Times New Roman" w:hAnsi="Times New Roman" w:eastAsia="宋体"/>
          <w:i/>
          <w:iCs/>
          <w:sz w:val="20"/>
          <w:szCs w:val="20"/>
        </w:rPr>
      </w:pPr>
      <w:r>
        <w:rPr>
          <w:rFonts w:ascii="Times New Roman" w:hAnsi="Times New Roman" w:eastAsia="宋体"/>
          <w:sz w:val="20"/>
          <w:szCs w:val="20"/>
        </w:rPr>
        <w:t>R1-2212520, Discussion on carrier phase measurement based positioning, ZTE, 3GPP RAN1#111.</w:t>
      </w:r>
    </w:p>
    <w:p>
      <w:pPr>
        <w:numPr>
          <w:ilvl w:val="0"/>
          <w:numId w:val="0"/>
        </w:numPr>
        <w:autoSpaceDE w:val="0"/>
        <w:autoSpaceDN w:val="0"/>
        <w:adjustRightInd w:val="0"/>
        <w:snapToGrid w:val="0"/>
        <w:spacing w:after="0" w:line="240" w:lineRule="auto"/>
        <w:jc w:val="both"/>
        <w:rPr>
          <w:rFonts w:ascii="Times New Roman" w:hAnsi="Times New Roman" w:eastAsia="宋体"/>
          <w:i/>
          <w:iCs/>
          <w:sz w:val="20"/>
          <w:szCs w:val="20"/>
        </w:rPr>
      </w:pPr>
    </w:p>
    <w:sectPr>
      <w:footerReference r:id="rId5" w:type="default"/>
      <w:type w:val="continuous"/>
      <w:pgSz w:w="11906" w:h="16838"/>
      <w:pgMar w:top="1440" w:right="1440" w:bottom="1440" w:left="1440" w:header="720" w:footer="720" w:gutter="0"/>
      <w:cols w:space="0" w:num="1"/>
      <w:rtlGutter w:val="0"/>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rFonts w:hint="default"/>
        <w:i w:val="0"/>
        <w:iCs w:val="0"/>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2722256"/>
    <w:multiLevelType w:val="singleLevel"/>
    <w:tmpl w:val="C2722256"/>
    <w:lvl w:ilvl="0" w:tentative="0">
      <w:start w:val="1"/>
      <w:numFmt w:val="decimal"/>
      <w:suff w:val="space"/>
      <w:lvlText w:val="%1)"/>
      <w:lvlJc w:val="left"/>
    </w:lvl>
  </w:abstractNum>
  <w:abstractNum w:abstractNumId="3">
    <w:nsid w:val="23145DAF"/>
    <w:multiLevelType w:val="multilevel"/>
    <w:tmpl w:val="23145D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7F6AFB"/>
    <w:multiLevelType w:val="multilevel"/>
    <w:tmpl w:val="417F6AFB"/>
    <w:lvl w:ilvl="0" w:tentative="0">
      <w:start w:val="1"/>
      <w:numFmt w:val="bullet"/>
      <w:pStyle w:val="9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2BE4826"/>
    <w:multiLevelType w:val="multilevel"/>
    <w:tmpl w:val="42BE48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4B34F0D"/>
    <w:multiLevelType w:val="multilevel"/>
    <w:tmpl w:val="44B34F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4E0AAA"/>
    <w:multiLevelType w:val="multilevel"/>
    <w:tmpl w:val="5B4E0AAA"/>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8">
    <w:nsid w:val="61B77C52"/>
    <w:multiLevelType w:val="multilevel"/>
    <w:tmpl w:val="61B77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3"/>
  </w:num>
  <w:num w:numId="4">
    <w:abstractNumId w:val="8"/>
  </w:num>
  <w:num w:numId="5">
    <w:abstractNumId w:val="7"/>
  </w:num>
  <w:num w:numId="6">
    <w:abstractNumId w:val="6"/>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08"/>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5D"/>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6C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4FE"/>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1FAE"/>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39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63D"/>
    <w:rsid w:val="000B2A46"/>
    <w:rsid w:val="000B2A84"/>
    <w:rsid w:val="000B2A98"/>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8A"/>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E91"/>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424"/>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2990"/>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115"/>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420"/>
    <w:rsid w:val="001766ED"/>
    <w:rsid w:val="001769F1"/>
    <w:rsid w:val="00176B19"/>
    <w:rsid w:val="00176B66"/>
    <w:rsid w:val="00176C11"/>
    <w:rsid w:val="00176C67"/>
    <w:rsid w:val="00176D05"/>
    <w:rsid w:val="0017730A"/>
    <w:rsid w:val="001773F2"/>
    <w:rsid w:val="001774B7"/>
    <w:rsid w:val="00177926"/>
    <w:rsid w:val="00177D21"/>
    <w:rsid w:val="00177ECD"/>
    <w:rsid w:val="00180357"/>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2B9"/>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5F18"/>
    <w:rsid w:val="002462DB"/>
    <w:rsid w:val="002463AD"/>
    <w:rsid w:val="00246452"/>
    <w:rsid w:val="00246470"/>
    <w:rsid w:val="00246488"/>
    <w:rsid w:val="00246617"/>
    <w:rsid w:val="002469E9"/>
    <w:rsid w:val="00246A3D"/>
    <w:rsid w:val="00246F00"/>
    <w:rsid w:val="00247284"/>
    <w:rsid w:val="00247359"/>
    <w:rsid w:val="00247AEE"/>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0C5"/>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4F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75"/>
    <w:rsid w:val="003908BC"/>
    <w:rsid w:val="00390D2F"/>
    <w:rsid w:val="00390D93"/>
    <w:rsid w:val="00390F2A"/>
    <w:rsid w:val="00391454"/>
    <w:rsid w:val="003918F2"/>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51D"/>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59A"/>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2F63"/>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5D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0FB"/>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2E8"/>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C2B"/>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AB"/>
    <w:rsid w:val="004F398E"/>
    <w:rsid w:val="004F39AB"/>
    <w:rsid w:val="004F3AA1"/>
    <w:rsid w:val="004F3B42"/>
    <w:rsid w:val="004F3C7C"/>
    <w:rsid w:val="004F3CCF"/>
    <w:rsid w:val="004F3D39"/>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3E21"/>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16A"/>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4CB"/>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45"/>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8EE"/>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5DE"/>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6B7"/>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B57"/>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3D0"/>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262"/>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958"/>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AB"/>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DBC"/>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27"/>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867"/>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8"/>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5F0"/>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A51"/>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DEB"/>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F6"/>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8B"/>
    <w:rsid w:val="00776ED8"/>
    <w:rsid w:val="007772D4"/>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E91"/>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5FCA"/>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3FFB"/>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65"/>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5A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542"/>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4A86"/>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0EAF"/>
    <w:rsid w:val="00851058"/>
    <w:rsid w:val="008511E6"/>
    <w:rsid w:val="008515B3"/>
    <w:rsid w:val="008515EC"/>
    <w:rsid w:val="00851659"/>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1E"/>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B9"/>
    <w:rsid w:val="00860FD1"/>
    <w:rsid w:val="0086122A"/>
    <w:rsid w:val="00861708"/>
    <w:rsid w:val="00861805"/>
    <w:rsid w:val="00861A4A"/>
    <w:rsid w:val="00861A83"/>
    <w:rsid w:val="00861B3A"/>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6B4E"/>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1FE3"/>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693"/>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2C"/>
    <w:rsid w:val="009A0572"/>
    <w:rsid w:val="009A078C"/>
    <w:rsid w:val="009A0940"/>
    <w:rsid w:val="009A1240"/>
    <w:rsid w:val="009A130F"/>
    <w:rsid w:val="009A13AD"/>
    <w:rsid w:val="009A18CA"/>
    <w:rsid w:val="009A193C"/>
    <w:rsid w:val="009A209D"/>
    <w:rsid w:val="009A2116"/>
    <w:rsid w:val="009A22B7"/>
    <w:rsid w:val="009A232F"/>
    <w:rsid w:val="009A3031"/>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CFC"/>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2F1"/>
    <w:rsid w:val="009D04FF"/>
    <w:rsid w:val="009D06D8"/>
    <w:rsid w:val="009D0842"/>
    <w:rsid w:val="009D0F2E"/>
    <w:rsid w:val="009D0FFC"/>
    <w:rsid w:val="009D1B87"/>
    <w:rsid w:val="009D1D3E"/>
    <w:rsid w:val="009D1E52"/>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D59"/>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1DC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0C5"/>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C77"/>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0E"/>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78"/>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EBA"/>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D14"/>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67BF0"/>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56D"/>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6F04"/>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970"/>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BE7"/>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690"/>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5C"/>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48"/>
    <w:rsid w:val="00AE19FC"/>
    <w:rsid w:val="00AE1A8F"/>
    <w:rsid w:val="00AE1B30"/>
    <w:rsid w:val="00AE1DF2"/>
    <w:rsid w:val="00AE21AD"/>
    <w:rsid w:val="00AE22A4"/>
    <w:rsid w:val="00AE22F1"/>
    <w:rsid w:val="00AE24A4"/>
    <w:rsid w:val="00AE2AAD"/>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0C"/>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01C"/>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1A"/>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C4"/>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34B"/>
    <w:rsid w:val="00B85470"/>
    <w:rsid w:val="00B85800"/>
    <w:rsid w:val="00B858A2"/>
    <w:rsid w:val="00B85942"/>
    <w:rsid w:val="00B85E01"/>
    <w:rsid w:val="00B85F9C"/>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16A"/>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1"/>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E31"/>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195"/>
    <w:rsid w:val="00C13453"/>
    <w:rsid w:val="00C135D2"/>
    <w:rsid w:val="00C136AD"/>
    <w:rsid w:val="00C137AE"/>
    <w:rsid w:val="00C138B9"/>
    <w:rsid w:val="00C138FB"/>
    <w:rsid w:val="00C13956"/>
    <w:rsid w:val="00C13C2F"/>
    <w:rsid w:val="00C13D0F"/>
    <w:rsid w:val="00C13F8D"/>
    <w:rsid w:val="00C13FBA"/>
    <w:rsid w:val="00C14200"/>
    <w:rsid w:val="00C14338"/>
    <w:rsid w:val="00C144AE"/>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38"/>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213"/>
    <w:rsid w:val="00C3665B"/>
    <w:rsid w:val="00C36719"/>
    <w:rsid w:val="00C36A68"/>
    <w:rsid w:val="00C36CB8"/>
    <w:rsid w:val="00C36E68"/>
    <w:rsid w:val="00C3704B"/>
    <w:rsid w:val="00C370BE"/>
    <w:rsid w:val="00C37283"/>
    <w:rsid w:val="00C375A7"/>
    <w:rsid w:val="00C375F5"/>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A04"/>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37F"/>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5B7"/>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A9"/>
    <w:rsid w:val="00D029C3"/>
    <w:rsid w:val="00D02C56"/>
    <w:rsid w:val="00D02CAC"/>
    <w:rsid w:val="00D02D53"/>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6BB7"/>
    <w:rsid w:val="00D0743E"/>
    <w:rsid w:val="00D07543"/>
    <w:rsid w:val="00D0754D"/>
    <w:rsid w:val="00D076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BE5"/>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542"/>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4CB"/>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2B"/>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092"/>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1EF"/>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77"/>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6F48"/>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5CC"/>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C73"/>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8CF"/>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B0"/>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4EB"/>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00"/>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AD"/>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CD0"/>
    <w:rsid w:val="00F63D00"/>
    <w:rsid w:val="00F641FB"/>
    <w:rsid w:val="00F64311"/>
    <w:rsid w:val="00F644C4"/>
    <w:rsid w:val="00F646C0"/>
    <w:rsid w:val="00F64B1F"/>
    <w:rsid w:val="00F64CA2"/>
    <w:rsid w:val="00F65160"/>
    <w:rsid w:val="00F651F0"/>
    <w:rsid w:val="00F65259"/>
    <w:rsid w:val="00F65292"/>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C47"/>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8E2"/>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5E"/>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0B2A"/>
    <w:rsid w:val="012E3D59"/>
    <w:rsid w:val="012E78A0"/>
    <w:rsid w:val="013340AD"/>
    <w:rsid w:val="01384A19"/>
    <w:rsid w:val="013A5D59"/>
    <w:rsid w:val="013C501C"/>
    <w:rsid w:val="013D4FA6"/>
    <w:rsid w:val="01464F0E"/>
    <w:rsid w:val="01484FD4"/>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EE5FA2"/>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A545F"/>
    <w:rsid w:val="031F008D"/>
    <w:rsid w:val="032A509F"/>
    <w:rsid w:val="032F4F77"/>
    <w:rsid w:val="03334938"/>
    <w:rsid w:val="0333596C"/>
    <w:rsid w:val="03375E7B"/>
    <w:rsid w:val="033912FE"/>
    <w:rsid w:val="03394321"/>
    <w:rsid w:val="03406AD4"/>
    <w:rsid w:val="034938C7"/>
    <w:rsid w:val="034E4F0F"/>
    <w:rsid w:val="034F290D"/>
    <w:rsid w:val="03513AB2"/>
    <w:rsid w:val="035279F8"/>
    <w:rsid w:val="03535FAB"/>
    <w:rsid w:val="035A6727"/>
    <w:rsid w:val="0360437B"/>
    <w:rsid w:val="03646BD7"/>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5373"/>
    <w:rsid w:val="03D11A1D"/>
    <w:rsid w:val="03D61EA0"/>
    <w:rsid w:val="03D974C6"/>
    <w:rsid w:val="03DC24B8"/>
    <w:rsid w:val="03E54BD6"/>
    <w:rsid w:val="03E73A64"/>
    <w:rsid w:val="03E82126"/>
    <w:rsid w:val="03F63AEF"/>
    <w:rsid w:val="03F8560A"/>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2238"/>
    <w:rsid w:val="0445405A"/>
    <w:rsid w:val="044A1114"/>
    <w:rsid w:val="044C008C"/>
    <w:rsid w:val="04552E83"/>
    <w:rsid w:val="045619E7"/>
    <w:rsid w:val="0456648E"/>
    <w:rsid w:val="04580ED4"/>
    <w:rsid w:val="045D0C1E"/>
    <w:rsid w:val="04616CCB"/>
    <w:rsid w:val="046D380D"/>
    <w:rsid w:val="046F363B"/>
    <w:rsid w:val="0473137D"/>
    <w:rsid w:val="04737418"/>
    <w:rsid w:val="04740FD2"/>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2041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D5C32"/>
    <w:rsid w:val="058E331A"/>
    <w:rsid w:val="05941672"/>
    <w:rsid w:val="059B236F"/>
    <w:rsid w:val="059B32A7"/>
    <w:rsid w:val="059E3691"/>
    <w:rsid w:val="059F5D9C"/>
    <w:rsid w:val="05A558D5"/>
    <w:rsid w:val="05A94C73"/>
    <w:rsid w:val="05B25404"/>
    <w:rsid w:val="05B35812"/>
    <w:rsid w:val="05B86725"/>
    <w:rsid w:val="05BB4C6D"/>
    <w:rsid w:val="05BE5A15"/>
    <w:rsid w:val="05C12962"/>
    <w:rsid w:val="05C23CE5"/>
    <w:rsid w:val="05C30024"/>
    <w:rsid w:val="05C31A0E"/>
    <w:rsid w:val="05C92259"/>
    <w:rsid w:val="05CC6A7E"/>
    <w:rsid w:val="05CF32AE"/>
    <w:rsid w:val="05CF3D91"/>
    <w:rsid w:val="05D75F40"/>
    <w:rsid w:val="05E02D26"/>
    <w:rsid w:val="05E31D83"/>
    <w:rsid w:val="05E6321E"/>
    <w:rsid w:val="05E80906"/>
    <w:rsid w:val="05F04C76"/>
    <w:rsid w:val="05F10131"/>
    <w:rsid w:val="05F23FCE"/>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601A7"/>
    <w:rsid w:val="06372BD3"/>
    <w:rsid w:val="06373C35"/>
    <w:rsid w:val="063E7244"/>
    <w:rsid w:val="06423400"/>
    <w:rsid w:val="064D07B4"/>
    <w:rsid w:val="06556880"/>
    <w:rsid w:val="06594ACC"/>
    <w:rsid w:val="065D0646"/>
    <w:rsid w:val="065E23F5"/>
    <w:rsid w:val="065E61A2"/>
    <w:rsid w:val="065F0CB5"/>
    <w:rsid w:val="06655FAF"/>
    <w:rsid w:val="067E49F6"/>
    <w:rsid w:val="06870355"/>
    <w:rsid w:val="068F2552"/>
    <w:rsid w:val="06920AD8"/>
    <w:rsid w:val="06973A22"/>
    <w:rsid w:val="0699682E"/>
    <w:rsid w:val="069A134E"/>
    <w:rsid w:val="06A12BB8"/>
    <w:rsid w:val="06A13EFF"/>
    <w:rsid w:val="06A52641"/>
    <w:rsid w:val="06A6721A"/>
    <w:rsid w:val="06AF2646"/>
    <w:rsid w:val="06B277C2"/>
    <w:rsid w:val="06B311F6"/>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E2C7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06DFB"/>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0FA2"/>
    <w:rsid w:val="08416468"/>
    <w:rsid w:val="084518E0"/>
    <w:rsid w:val="08456538"/>
    <w:rsid w:val="084D265F"/>
    <w:rsid w:val="08533FDF"/>
    <w:rsid w:val="08594EDF"/>
    <w:rsid w:val="085B296F"/>
    <w:rsid w:val="08625F26"/>
    <w:rsid w:val="08655CD7"/>
    <w:rsid w:val="086B2DB5"/>
    <w:rsid w:val="086B5DA6"/>
    <w:rsid w:val="086C2511"/>
    <w:rsid w:val="08754A81"/>
    <w:rsid w:val="087B70D7"/>
    <w:rsid w:val="087B7B82"/>
    <w:rsid w:val="088376E1"/>
    <w:rsid w:val="088722D5"/>
    <w:rsid w:val="089055A6"/>
    <w:rsid w:val="089534B6"/>
    <w:rsid w:val="08980BAB"/>
    <w:rsid w:val="08A44F08"/>
    <w:rsid w:val="08A75155"/>
    <w:rsid w:val="08A92676"/>
    <w:rsid w:val="08AA5BF5"/>
    <w:rsid w:val="08AB6847"/>
    <w:rsid w:val="08B14555"/>
    <w:rsid w:val="08C24EFE"/>
    <w:rsid w:val="08C8577F"/>
    <w:rsid w:val="08C97AC5"/>
    <w:rsid w:val="08D52288"/>
    <w:rsid w:val="08D924A9"/>
    <w:rsid w:val="08DA3FA8"/>
    <w:rsid w:val="08DF5637"/>
    <w:rsid w:val="08DF6022"/>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5C5FDB"/>
    <w:rsid w:val="095D178B"/>
    <w:rsid w:val="09616348"/>
    <w:rsid w:val="096C4215"/>
    <w:rsid w:val="096E4B93"/>
    <w:rsid w:val="096E4D5C"/>
    <w:rsid w:val="0978669A"/>
    <w:rsid w:val="097E3F6C"/>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4391"/>
    <w:rsid w:val="0A265C5E"/>
    <w:rsid w:val="0A3A062B"/>
    <w:rsid w:val="0A3C576A"/>
    <w:rsid w:val="0A3F2D2D"/>
    <w:rsid w:val="0A47596A"/>
    <w:rsid w:val="0A490945"/>
    <w:rsid w:val="0A4F006D"/>
    <w:rsid w:val="0A545C1F"/>
    <w:rsid w:val="0A663A61"/>
    <w:rsid w:val="0A6A17FC"/>
    <w:rsid w:val="0A6F7D15"/>
    <w:rsid w:val="0A7018D5"/>
    <w:rsid w:val="0A702C52"/>
    <w:rsid w:val="0A7059D4"/>
    <w:rsid w:val="0A723635"/>
    <w:rsid w:val="0A7D6124"/>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B1EF7"/>
    <w:rsid w:val="0AFD036E"/>
    <w:rsid w:val="0AFD1EB9"/>
    <w:rsid w:val="0AFE08A2"/>
    <w:rsid w:val="0B0952D2"/>
    <w:rsid w:val="0B0E13D6"/>
    <w:rsid w:val="0B0E3AD4"/>
    <w:rsid w:val="0B176325"/>
    <w:rsid w:val="0B1A291A"/>
    <w:rsid w:val="0B1B5925"/>
    <w:rsid w:val="0B254CAA"/>
    <w:rsid w:val="0B28501B"/>
    <w:rsid w:val="0B2E0454"/>
    <w:rsid w:val="0B311E8B"/>
    <w:rsid w:val="0B316748"/>
    <w:rsid w:val="0B316874"/>
    <w:rsid w:val="0B3440C0"/>
    <w:rsid w:val="0B361B74"/>
    <w:rsid w:val="0B3B65E0"/>
    <w:rsid w:val="0B3C005F"/>
    <w:rsid w:val="0B3C21AB"/>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1F3C"/>
    <w:rsid w:val="0BDA3FDB"/>
    <w:rsid w:val="0BDE6226"/>
    <w:rsid w:val="0BE879AE"/>
    <w:rsid w:val="0BEC24ED"/>
    <w:rsid w:val="0BED5C90"/>
    <w:rsid w:val="0BF3611F"/>
    <w:rsid w:val="0C055D2C"/>
    <w:rsid w:val="0C1232A8"/>
    <w:rsid w:val="0C1B0491"/>
    <w:rsid w:val="0C1B4521"/>
    <w:rsid w:val="0C1E5D95"/>
    <w:rsid w:val="0C214DA4"/>
    <w:rsid w:val="0C2343CE"/>
    <w:rsid w:val="0C293F71"/>
    <w:rsid w:val="0C407935"/>
    <w:rsid w:val="0C426C85"/>
    <w:rsid w:val="0C432D86"/>
    <w:rsid w:val="0C4E63B2"/>
    <w:rsid w:val="0C4F69BD"/>
    <w:rsid w:val="0C512857"/>
    <w:rsid w:val="0C574E9F"/>
    <w:rsid w:val="0C5860FB"/>
    <w:rsid w:val="0C5937E9"/>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8C7F56"/>
    <w:rsid w:val="0D902AA1"/>
    <w:rsid w:val="0D950038"/>
    <w:rsid w:val="0D9547D8"/>
    <w:rsid w:val="0DA21DB4"/>
    <w:rsid w:val="0DB14B01"/>
    <w:rsid w:val="0DB42335"/>
    <w:rsid w:val="0DC1403A"/>
    <w:rsid w:val="0DC75B70"/>
    <w:rsid w:val="0DC93981"/>
    <w:rsid w:val="0DCC0BD1"/>
    <w:rsid w:val="0DD32B50"/>
    <w:rsid w:val="0DD339D9"/>
    <w:rsid w:val="0DD75970"/>
    <w:rsid w:val="0DDB1764"/>
    <w:rsid w:val="0DDF4F05"/>
    <w:rsid w:val="0DE00F77"/>
    <w:rsid w:val="0DE2265C"/>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355D1"/>
    <w:rsid w:val="0E594261"/>
    <w:rsid w:val="0E5B15B0"/>
    <w:rsid w:val="0E5C74E8"/>
    <w:rsid w:val="0E626314"/>
    <w:rsid w:val="0E681BEF"/>
    <w:rsid w:val="0E70754B"/>
    <w:rsid w:val="0E753626"/>
    <w:rsid w:val="0E771E58"/>
    <w:rsid w:val="0E796DFA"/>
    <w:rsid w:val="0E7A52BE"/>
    <w:rsid w:val="0E7B1820"/>
    <w:rsid w:val="0E7B61FB"/>
    <w:rsid w:val="0E7F1C04"/>
    <w:rsid w:val="0E7F2502"/>
    <w:rsid w:val="0E841CEC"/>
    <w:rsid w:val="0E8D5F4A"/>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D4F00"/>
    <w:rsid w:val="0F0E287E"/>
    <w:rsid w:val="0F122314"/>
    <w:rsid w:val="0F157038"/>
    <w:rsid w:val="0F191690"/>
    <w:rsid w:val="0F2566D6"/>
    <w:rsid w:val="0F334F38"/>
    <w:rsid w:val="0F374D10"/>
    <w:rsid w:val="0F390E3D"/>
    <w:rsid w:val="0F3B729A"/>
    <w:rsid w:val="0F477871"/>
    <w:rsid w:val="0F477973"/>
    <w:rsid w:val="0F4B3454"/>
    <w:rsid w:val="0F521E2E"/>
    <w:rsid w:val="0F5313BA"/>
    <w:rsid w:val="0F5446B1"/>
    <w:rsid w:val="0F566F25"/>
    <w:rsid w:val="0F5801E9"/>
    <w:rsid w:val="0F5C4C71"/>
    <w:rsid w:val="0F5E7046"/>
    <w:rsid w:val="0F675A2D"/>
    <w:rsid w:val="0F8116C6"/>
    <w:rsid w:val="0F927670"/>
    <w:rsid w:val="0F95703F"/>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972FC"/>
    <w:rsid w:val="0FEA2108"/>
    <w:rsid w:val="0FEC32E3"/>
    <w:rsid w:val="0FEE5F63"/>
    <w:rsid w:val="0FF14326"/>
    <w:rsid w:val="0FF53632"/>
    <w:rsid w:val="0FF61261"/>
    <w:rsid w:val="0FF7251B"/>
    <w:rsid w:val="0FF864B2"/>
    <w:rsid w:val="1002491E"/>
    <w:rsid w:val="100318D3"/>
    <w:rsid w:val="10074C2D"/>
    <w:rsid w:val="10080D3C"/>
    <w:rsid w:val="100C48AC"/>
    <w:rsid w:val="100D77C9"/>
    <w:rsid w:val="100F5ECF"/>
    <w:rsid w:val="10123E88"/>
    <w:rsid w:val="10171D38"/>
    <w:rsid w:val="10173B20"/>
    <w:rsid w:val="101B4B2B"/>
    <w:rsid w:val="101F001F"/>
    <w:rsid w:val="10205E6C"/>
    <w:rsid w:val="10214450"/>
    <w:rsid w:val="103F7BBC"/>
    <w:rsid w:val="1046747A"/>
    <w:rsid w:val="104B2F84"/>
    <w:rsid w:val="104F503B"/>
    <w:rsid w:val="106104D8"/>
    <w:rsid w:val="10614B4D"/>
    <w:rsid w:val="106807AB"/>
    <w:rsid w:val="10697106"/>
    <w:rsid w:val="106D07A5"/>
    <w:rsid w:val="1070251A"/>
    <w:rsid w:val="1079125F"/>
    <w:rsid w:val="10795FF0"/>
    <w:rsid w:val="107E7E13"/>
    <w:rsid w:val="108065DC"/>
    <w:rsid w:val="108D1F6F"/>
    <w:rsid w:val="108E556A"/>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54494"/>
    <w:rsid w:val="11262D96"/>
    <w:rsid w:val="11347954"/>
    <w:rsid w:val="113B4AF5"/>
    <w:rsid w:val="113D45ED"/>
    <w:rsid w:val="113F68A0"/>
    <w:rsid w:val="11463C69"/>
    <w:rsid w:val="114B2327"/>
    <w:rsid w:val="11537076"/>
    <w:rsid w:val="115452C7"/>
    <w:rsid w:val="115470DC"/>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214B4"/>
    <w:rsid w:val="12B43E24"/>
    <w:rsid w:val="12C336A4"/>
    <w:rsid w:val="12C60939"/>
    <w:rsid w:val="12C70E6B"/>
    <w:rsid w:val="12DA12F7"/>
    <w:rsid w:val="12E0156B"/>
    <w:rsid w:val="12E53EB9"/>
    <w:rsid w:val="12F00E7B"/>
    <w:rsid w:val="12F85E8C"/>
    <w:rsid w:val="12F95EB4"/>
    <w:rsid w:val="12FA1A9D"/>
    <w:rsid w:val="13022B2F"/>
    <w:rsid w:val="13076BAF"/>
    <w:rsid w:val="130830A1"/>
    <w:rsid w:val="130A6AD2"/>
    <w:rsid w:val="130F03F0"/>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21EFE"/>
    <w:rsid w:val="13834E54"/>
    <w:rsid w:val="138C3BB4"/>
    <w:rsid w:val="138E21E8"/>
    <w:rsid w:val="13A46633"/>
    <w:rsid w:val="13A53E20"/>
    <w:rsid w:val="13A57CC6"/>
    <w:rsid w:val="13A64D44"/>
    <w:rsid w:val="13A71807"/>
    <w:rsid w:val="13AA36AA"/>
    <w:rsid w:val="13AA72DA"/>
    <w:rsid w:val="13AE4A5F"/>
    <w:rsid w:val="13B4098E"/>
    <w:rsid w:val="13B62320"/>
    <w:rsid w:val="13BA6369"/>
    <w:rsid w:val="13C63810"/>
    <w:rsid w:val="13C673D1"/>
    <w:rsid w:val="13D14F64"/>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822913"/>
    <w:rsid w:val="149C2E77"/>
    <w:rsid w:val="14A31F03"/>
    <w:rsid w:val="14A5629F"/>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63AB9"/>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7641C"/>
    <w:rsid w:val="158A42AA"/>
    <w:rsid w:val="15903990"/>
    <w:rsid w:val="159A2718"/>
    <w:rsid w:val="159A616F"/>
    <w:rsid w:val="15A16B2A"/>
    <w:rsid w:val="15A36994"/>
    <w:rsid w:val="15A63099"/>
    <w:rsid w:val="15A83FDF"/>
    <w:rsid w:val="15AC1F1E"/>
    <w:rsid w:val="15AE067E"/>
    <w:rsid w:val="15B274DC"/>
    <w:rsid w:val="15B51F07"/>
    <w:rsid w:val="15B64890"/>
    <w:rsid w:val="15B7100A"/>
    <w:rsid w:val="15BA1EF1"/>
    <w:rsid w:val="15BB7F8A"/>
    <w:rsid w:val="15BE7996"/>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9A4305"/>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37193"/>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41B5A"/>
    <w:rsid w:val="17276415"/>
    <w:rsid w:val="172F2D58"/>
    <w:rsid w:val="17351DB9"/>
    <w:rsid w:val="17393127"/>
    <w:rsid w:val="173D1032"/>
    <w:rsid w:val="17423214"/>
    <w:rsid w:val="174903F6"/>
    <w:rsid w:val="174E5530"/>
    <w:rsid w:val="17512C20"/>
    <w:rsid w:val="175A558F"/>
    <w:rsid w:val="17644012"/>
    <w:rsid w:val="17645BD7"/>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97279"/>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22465"/>
    <w:rsid w:val="19087E5A"/>
    <w:rsid w:val="190A5AAB"/>
    <w:rsid w:val="190B365E"/>
    <w:rsid w:val="190B5982"/>
    <w:rsid w:val="190E24A2"/>
    <w:rsid w:val="190F246E"/>
    <w:rsid w:val="1910107B"/>
    <w:rsid w:val="1919445B"/>
    <w:rsid w:val="1929257A"/>
    <w:rsid w:val="19296C8F"/>
    <w:rsid w:val="192B582F"/>
    <w:rsid w:val="192F7BEE"/>
    <w:rsid w:val="193C5189"/>
    <w:rsid w:val="193F3607"/>
    <w:rsid w:val="193F51BD"/>
    <w:rsid w:val="1944727F"/>
    <w:rsid w:val="1948038A"/>
    <w:rsid w:val="194A66F4"/>
    <w:rsid w:val="194C08BA"/>
    <w:rsid w:val="19507206"/>
    <w:rsid w:val="19546D47"/>
    <w:rsid w:val="19561E54"/>
    <w:rsid w:val="19594AC8"/>
    <w:rsid w:val="19642537"/>
    <w:rsid w:val="19704940"/>
    <w:rsid w:val="19767155"/>
    <w:rsid w:val="19767890"/>
    <w:rsid w:val="197E00E2"/>
    <w:rsid w:val="197E4EC9"/>
    <w:rsid w:val="19801AD3"/>
    <w:rsid w:val="198438C8"/>
    <w:rsid w:val="19854BB3"/>
    <w:rsid w:val="198A317C"/>
    <w:rsid w:val="198A5B9B"/>
    <w:rsid w:val="198E504F"/>
    <w:rsid w:val="198E7CC2"/>
    <w:rsid w:val="19935571"/>
    <w:rsid w:val="199628D2"/>
    <w:rsid w:val="1997041E"/>
    <w:rsid w:val="19971F25"/>
    <w:rsid w:val="19977F1D"/>
    <w:rsid w:val="19A055FC"/>
    <w:rsid w:val="19A204F1"/>
    <w:rsid w:val="19A47FBE"/>
    <w:rsid w:val="19A9542D"/>
    <w:rsid w:val="19AF141B"/>
    <w:rsid w:val="19B45EC6"/>
    <w:rsid w:val="19BC434C"/>
    <w:rsid w:val="19C0635C"/>
    <w:rsid w:val="19C546C0"/>
    <w:rsid w:val="19C80E4C"/>
    <w:rsid w:val="19C87A4B"/>
    <w:rsid w:val="19CB0EFE"/>
    <w:rsid w:val="19D83EBC"/>
    <w:rsid w:val="19DC2EF0"/>
    <w:rsid w:val="19E01BE1"/>
    <w:rsid w:val="19E27436"/>
    <w:rsid w:val="19E52BC0"/>
    <w:rsid w:val="19E90F2D"/>
    <w:rsid w:val="19EA250B"/>
    <w:rsid w:val="19EB4C32"/>
    <w:rsid w:val="19F14343"/>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78A1"/>
    <w:rsid w:val="1A552EA6"/>
    <w:rsid w:val="1A574E8B"/>
    <w:rsid w:val="1A5A027E"/>
    <w:rsid w:val="1A5B332D"/>
    <w:rsid w:val="1A5D418F"/>
    <w:rsid w:val="1A604FB0"/>
    <w:rsid w:val="1A667C29"/>
    <w:rsid w:val="1A68714A"/>
    <w:rsid w:val="1A74323E"/>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6E8A"/>
    <w:rsid w:val="1A991640"/>
    <w:rsid w:val="1AA14EDD"/>
    <w:rsid w:val="1AA20A13"/>
    <w:rsid w:val="1AA33EAF"/>
    <w:rsid w:val="1AA4489D"/>
    <w:rsid w:val="1AA964C5"/>
    <w:rsid w:val="1AAC5EBD"/>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42D9E"/>
    <w:rsid w:val="1B3A63E1"/>
    <w:rsid w:val="1B3B1E3D"/>
    <w:rsid w:val="1B3B44BF"/>
    <w:rsid w:val="1B3F232C"/>
    <w:rsid w:val="1B435219"/>
    <w:rsid w:val="1B452832"/>
    <w:rsid w:val="1B55429F"/>
    <w:rsid w:val="1B5C4B10"/>
    <w:rsid w:val="1B676B44"/>
    <w:rsid w:val="1B6B6632"/>
    <w:rsid w:val="1B6F4CAB"/>
    <w:rsid w:val="1B7D6CAD"/>
    <w:rsid w:val="1B806C82"/>
    <w:rsid w:val="1B8474D6"/>
    <w:rsid w:val="1B9009CE"/>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55D2A"/>
    <w:rsid w:val="1C086588"/>
    <w:rsid w:val="1C097162"/>
    <w:rsid w:val="1C0A656E"/>
    <w:rsid w:val="1C114C4D"/>
    <w:rsid w:val="1C16147F"/>
    <w:rsid w:val="1C176961"/>
    <w:rsid w:val="1C1C6556"/>
    <w:rsid w:val="1C23366C"/>
    <w:rsid w:val="1C245463"/>
    <w:rsid w:val="1C2D02F8"/>
    <w:rsid w:val="1C3019B6"/>
    <w:rsid w:val="1C327EC7"/>
    <w:rsid w:val="1C376C5A"/>
    <w:rsid w:val="1C393748"/>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D443A"/>
    <w:rsid w:val="1C6E29AB"/>
    <w:rsid w:val="1C6E5EB5"/>
    <w:rsid w:val="1C7026A5"/>
    <w:rsid w:val="1C787478"/>
    <w:rsid w:val="1C7A4B33"/>
    <w:rsid w:val="1C861BA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02F84"/>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156B58"/>
    <w:rsid w:val="1D2B0F93"/>
    <w:rsid w:val="1D315EEC"/>
    <w:rsid w:val="1D316B5C"/>
    <w:rsid w:val="1D320508"/>
    <w:rsid w:val="1D3914F2"/>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A5B91"/>
    <w:rsid w:val="1E2133C2"/>
    <w:rsid w:val="1E252837"/>
    <w:rsid w:val="1E291941"/>
    <w:rsid w:val="1E2B5964"/>
    <w:rsid w:val="1E2C1376"/>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9671A"/>
    <w:rsid w:val="1EBA66FA"/>
    <w:rsid w:val="1EBC68DA"/>
    <w:rsid w:val="1EBF4CD5"/>
    <w:rsid w:val="1EC063B9"/>
    <w:rsid w:val="1ECE1B03"/>
    <w:rsid w:val="1ECE723E"/>
    <w:rsid w:val="1ED55822"/>
    <w:rsid w:val="1EE54D64"/>
    <w:rsid w:val="1EE82B1F"/>
    <w:rsid w:val="1EE83BBB"/>
    <w:rsid w:val="1EEA0B27"/>
    <w:rsid w:val="1EEC1AE0"/>
    <w:rsid w:val="1EEC3E9A"/>
    <w:rsid w:val="1EEE5F5C"/>
    <w:rsid w:val="1EF15EF6"/>
    <w:rsid w:val="1EF47C22"/>
    <w:rsid w:val="1EFB41E9"/>
    <w:rsid w:val="1F0271AF"/>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5D4F6E"/>
    <w:rsid w:val="1F6037D1"/>
    <w:rsid w:val="1F61588F"/>
    <w:rsid w:val="1F637F5A"/>
    <w:rsid w:val="1F710118"/>
    <w:rsid w:val="1F764C52"/>
    <w:rsid w:val="1F792C3A"/>
    <w:rsid w:val="1F7C64ED"/>
    <w:rsid w:val="1F802382"/>
    <w:rsid w:val="1F8C04E7"/>
    <w:rsid w:val="1F9A7DD3"/>
    <w:rsid w:val="1FA35CF7"/>
    <w:rsid w:val="1FAA54F7"/>
    <w:rsid w:val="1FB04C74"/>
    <w:rsid w:val="1FB234B9"/>
    <w:rsid w:val="1FB966AC"/>
    <w:rsid w:val="1FC144C4"/>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87136"/>
    <w:rsid w:val="20BB4E88"/>
    <w:rsid w:val="20BB5F07"/>
    <w:rsid w:val="20BD7447"/>
    <w:rsid w:val="20C03C60"/>
    <w:rsid w:val="20C215F3"/>
    <w:rsid w:val="20C43B9F"/>
    <w:rsid w:val="20C71E83"/>
    <w:rsid w:val="20C976CD"/>
    <w:rsid w:val="20CA278B"/>
    <w:rsid w:val="20CF43B0"/>
    <w:rsid w:val="20D50E20"/>
    <w:rsid w:val="20D64996"/>
    <w:rsid w:val="20D717F1"/>
    <w:rsid w:val="20DB4340"/>
    <w:rsid w:val="20E30CFA"/>
    <w:rsid w:val="20EF51C8"/>
    <w:rsid w:val="20F05924"/>
    <w:rsid w:val="20F13F32"/>
    <w:rsid w:val="20F453F7"/>
    <w:rsid w:val="20F54434"/>
    <w:rsid w:val="20F627FE"/>
    <w:rsid w:val="20F81429"/>
    <w:rsid w:val="20FC1C52"/>
    <w:rsid w:val="20FD6D18"/>
    <w:rsid w:val="20FE48A8"/>
    <w:rsid w:val="20FE4BBD"/>
    <w:rsid w:val="2103608A"/>
    <w:rsid w:val="210E5EC2"/>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50C69"/>
    <w:rsid w:val="216C6B87"/>
    <w:rsid w:val="2175003E"/>
    <w:rsid w:val="217A71B3"/>
    <w:rsid w:val="217C1F99"/>
    <w:rsid w:val="21823F61"/>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354ED"/>
    <w:rsid w:val="21E5678C"/>
    <w:rsid w:val="21E8009D"/>
    <w:rsid w:val="21EC66F9"/>
    <w:rsid w:val="21F27385"/>
    <w:rsid w:val="21F477AF"/>
    <w:rsid w:val="21F80754"/>
    <w:rsid w:val="21FD1F93"/>
    <w:rsid w:val="22070B91"/>
    <w:rsid w:val="22122053"/>
    <w:rsid w:val="221500FE"/>
    <w:rsid w:val="22160E61"/>
    <w:rsid w:val="22170083"/>
    <w:rsid w:val="22191667"/>
    <w:rsid w:val="221E4044"/>
    <w:rsid w:val="222E4B36"/>
    <w:rsid w:val="222F05E6"/>
    <w:rsid w:val="22317A3E"/>
    <w:rsid w:val="22330CD8"/>
    <w:rsid w:val="22335E59"/>
    <w:rsid w:val="22447536"/>
    <w:rsid w:val="224744C4"/>
    <w:rsid w:val="224B0DB4"/>
    <w:rsid w:val="22550A45"/>
    <w:rsid w:val="22583396"/>
    <w:rsid w:val="225A3E70"/>
    <w:rsid w:val="225B121F"/>
    <w:rsid w:val="22663911"/>
    <w:rsid w:val="22677532"/>
    <w:rsid w:val="226D0C21"/>
    <w:rsid w:val="226F2BB2"/>
    <w:rsid w:val="22721973"/>
    <w:rsid w:val="22721E20"/>
    <w:rsid w:val="22882272"/>
    <w:rsid w:val="229C146B"/>
    <w:rsid w:val="229F5B62"/>
    <w:rsid w:val="22A94C36"/>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140A7"/>
    <w:rsid w:val="23136A91"/>
    <w:rsid w:val="2314181E"/>
    <w:rsid w:val="2317727F"/>
    <w:rsid w:val="232020A5"/>
    <w:rsid w:val="23247DA8"/>
    <w:rsid w:val="23263DF4"/>
    <w:rsid w:val="232A727C"/>
    <w:rsid w:val="23301166"/>
    <w:rsid w:val="233072E9"/>
    <w:rsid w:val="23357DCC"/>
    <w:rsid w:val="233D00E7"/>
    <w:rsid w:val="23434E07"/>
    <w:rsid w:val="23550E3B"/>
    <w:rsid w:val="2358023D"/>
    <w:rsid w:val="235F2C5A"/>
    <w:rsid w:val="235F75E7"/>
    <w:rsid w:val="23607971"/>
    <w:rsid w:val="23727A3F"/>
    <w:rsid w:val="237A38E4"/>
    <w:rsid w:val="237A6D5C"/>
    <w:rsid w:val="237F1315"/>
    <w:rsid w:val="237F27A7"/>
    <w:rsid w:val="2381755C"/>
    <w:rsid w:val="23862749"/>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149C6"/>
    <w:rsid w:val="24932C94"/>
    <w:rsid w:val="24965CCD"/>
    <w:rsid w:val="249800C5"/>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4E3FF5"/>
    <w:rsid w:val="25512471"/>
    <w:rsid w:val="255513D2"/>
    <w:rsid w:val="255A50C8"/>
    <w:rsid w:val="255B49B3"/>
    <w:rsid w:val="255C1932"/>
    <w:rsid w:val="255E294F"/>
    <w:rsid w:val="25692DFE"/>
    <w:rsid w:val="256C3D8F"/>
    <w:rsid w:val="256D6BF2"/>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A613E"/>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0371C"/>
    <w:rsid w:val="26916DB8"/>
    <w:rsid w:val="269837EF"/>
    <w:rsid w:val="269E794D"/>
    <w:rsid w:val="26A84125"/>
    <w:rsid w:val="26AF7EB1"/>
    <w:rsid w:val="26B11AEC"/>
    <w:rsid w:val="26B7502F"/>
    <w:rsid w:val="26B82CF0"/>
    <w:rsid w:val="26B8558F"/>
    <w:rsid w:val="26C03942"/>
    <w:rsid w:val="26CF27C0"/>
    <w:rsid w:val="26CF56E4"/>
    <w:rsid w:val="26D07CC0"/>
    <w:rsid w:val="26D27F3B"/>
    <w:rsid w:val="26E535DE"/>
    <w:rsid w:val="26F0116E"/>
    <w:rsid w:val="26F62BE0"/>
    <w:rsid w:val="27007DB1"/>
    <w:rsid w:val="27023FD8"/>
    <w:rsid w:val="270268FC"/>
    <w:rsid w:val="270A4A11"/>
    <w:rsid w:val="27115F5E"/>
    <w:rsid w:val="27131A32"/>
    <w:rsid w:val="271438F4"/>
    <w:rsid w:val="271441C6"/>
    <w:rsid w:val="27181BBE"/>
    <w:rsid w:val="272201E2"/>
    <w:rsid w:val="27222347"/>
    <w:rsid w:val="27261FD2"/>
    <w:rsid w:val="272E2378"/>
    <w:rsid w:val="27321F5C"/>
    <w:rsid w:val="273C76EB"/>
    <w:rsid w:val="273E15AB"/>
    <w:rsid w:val="274159F7"/>
    <w:rsid w:val="27492EA8"/>
    <w:rsid w:val="274B09CE"/>
    <w:rsid w:val="27523FF3"/>
    <w:rsid w:val="275269EE"/>
    <w:rsid w:val="2755572E"/>
    <w:rsid w:val="276010D4"/>
    <w:rsid w:val="27614F78"/>
    <w:rsid w:val="27653B8D"/>
    <w:rsid w:val="27694F62"/>
    <w:rsid w:val="276B0663"/>
    <w:rsid w:val="276B607D"/>
    <w:rsid w:val="276C47FF"/>
    <w:rsid w:val="2773738D"/>
    <w:rsid w:val="277973C8"/>
    <w:rsid w:val="27880564"/>
    <w:rsid w:val="278C4BFF"/>
    <w:rsid w:val="278E5245"/>
    <w:rsid w:val="279025EE"/>
    <w:rsid w:val="27924A6D"/>
    <w:rsid w:val="27992850"/>
    <w:rsid w:val="27A44BB8"/>
    <w:rsid w:val="27AA4362"/>
    <w:rsid w:val="27AF12EF"/>
    <w:rsid w:val="27AF29BE"/>
    <w:rsid w:val="27B47525"/>
    <w:rsid w:val="27BF67BA"/>
    <w:rsid w:val="27C04AAA"/>
    <w:rsid w:val="27C07D92"/>
    <w:rsid w:val="27C334FA"/>
    <w:rsid w:val="27C60A21"/>
    <w:rsid w:val="27D021D8"/>
    <w:rsid w:val="27D54E77"/>
    <w:rsid w:val="27D65DE5"/>
    <w:rsid w:val="27D7429E"/>
    <w:rsid w:val="27DC7DE0"/>
    <w:rsid w:val="27DE1BFF"/>
    <w:rsid w:val="27E12983"/>
    <w:rsid w:val="27E44357"/>
    <w:rsid w:val="27E86387"/>
    <w:rsid w:val="27EA32D3"/>
    <w:rsid w:val="27EB75EF"/>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3C224C"/>
    <w:rsid w:val="28410CFF"/>
    <w:rsid w:val="284A66D7"/>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C55B3"/>
    <w:rsid w:val="28BF59E6"/>
    <w:rsid w:val="28C14F11"/>
    <w:rsid w:val="28CE5AB8"/>
    <w:rsid w:val="28CF0263"/>
    <w:rsid w:val="28D773A2"/>
    <w:rsid w:val="28E069B4"/>
    <w:rsid w:val="28E17E2C"/>
    <w:rsid w:val="28E44161"/>
    <w:rsid w:val="28E474F2"/>
    <w:rsid w:val="28F15C5D"/>
    <w:rsid w:val="28FA1728"/>
    <w:rsid w:val="28FB61AA"/>
    <w:rsid w:val="28FD0175"/>
    <w:rsid w:val="290301B6"/>
    <w:rsid w:val="29046B1A"/>
    <w:rsid w:val="29070F98"/>
    <w:rsid w:val="290E7E3D"/>
    <w:rsid w:val="290F5FD5"/>
    <w:rsid w:val="2911001D"/>
    <w:rsid w:val="291671BE"/>
    <w:rsid w:val="291E162B"/>
    <w:rsid w:val="291F06CA"/>
    <w:rsid w:val="29257E18"/>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2012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CF3CF1"/>
    <w:rsid w:val="29D330CD"/>
    <w:rsid w:val="29D905A6"/>
    <w:rsid w:val="29E705C4"/>
    <w:rsid w:val="29EB5B61"/>
    <w:rsid w:val="29EF69C0"/>
    <w:rsid w:val="29F143B2"/>
    <w:rsid w:val="29F15ECD"/>
    <w:rsid w:val="29F50529"/>
    <w:rsid w:val="29F6357B"/>
    <w:rsid w:val="29F64D54"/>
    <w:rsid w:val="2A0011E1"/>
    <w:rsid w:val="2A027DC4"/>
    <w:rsid w:val="2A0A08C1"/>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85F0C"/>
    <w:rsid w:val="2A792BFF"/>
    <w:rsid w:val="2A8050E9"/>
    <w:rsid w:val="2A805538"/>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A66D7"/>
    <w:rsid w:val="2BED6E21"/>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B596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30344"/>
    <w:rsid w:val="2CFF086A"/>
    <w:rsid w:val="2D064B26"/>
    <w:rsid w:val="2D086932"/>
    <w:rsid w:val="2D104632"/>
    <w:rsid w:val="2D3072FE"/>
    <w:rsid w:val="2D31028B"/>
    <w:rsid w:val="2D356F9E"/>
    <w:rsid w:val="2D4151E1"/>
    <w:rsid w:val="2D416432"/>
    <w:rsid w:val="2D420181"/>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9D0E1B"/>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5024D8"/>
    <w:rsid w:val="2E522352"/>
    <w:rsid w:val="2E55304D"/>
    <w:rsid w:val="2E5F3B5E"/>
    <w:rsid w:val="2E602D70"/>
    <w:rsid w:val="2E643BF9"/>
    <w:rsid w:val="2E680509"/>
    <w:rsid w:val="2E89270D"/>
    <w:rsid w:val="2E8A2011"/>
    <w:rsid w:val="2E8A68CC"/>
    <w:rsid w:val="2E930996"/>
    <w:rsid w:val="2EA469A3"/>
    <w:rsid w:val="2EAE08A6"/>
    <w:rsid w:val="2EBD6A69"/>
    <w:rsid w:val="2EBF6A8F"/>
    <w:rsid w:val="2EC53E66"/>
    <w:rsid w:val="2ECA785E"/>
    <w:rsid w:val="2ECE63AB"/>
    <w:rsid w:val="2ECF267B"/>
    <w:rsid w:val="2ED26976"/>
    <w:rsid w:val="2EE21F9D"/>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3E3C94"/>
    <w:rsid w:val="2F402D6C"/>
    <w:rsid w:val="2F423C6B"/>
    <w:rsid w:val="2F4457D7"/>
    <w:rsid w:val="2F456FE2"/>
    <w:rsid w:val="2F4575D0"/>
    <w:rsid w:val="2F463C9F"/>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86D45"/>
    <w:rsid w:val="2FDF68B6"/>
    <w:rsid w:val="2FE424EB"/>
    <w:rsid w:val="2FE465CC"/>
    <w:rsid w:val="2FED56B0"/>
    <w:rsid w:val="2FF657DC"/>
    <w:rsid w:val="2FF65911"/>
    <w:rsid w:val="2FFA4EB6"/>
    <w:rsid w:val="300E5103"/>
    <w:rsid w:val="30132A83"/>
    <w:rsid w:val="30243ECE"/>
    <w:rsid w:val="302E2308"/>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61214"/>
    <w:rsid w:val="30D914CE"/>
    <w:rsid w:val="30DD5BC9"/>
    <w:rsid w:val="30E31EEB"/>
    <w:rsid w:val="30E64CA0"/>
    <w:rsid w:val="30ED7025"/>
    <w:rsid w:val="30EE6C60"/>
    <w:rsid w:val="30F653E9"/>
    <w:rsid w:val="31081AAA"/>
    <w:rsid w:val="310C4D9C"/>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41D1E"/>
    <w:rsid w:val="31750FCD"/>
    <w:rsid w:val="3179366A"/>
    <w:rsid w:val="317A104A"/>
    <w:rsid w:val="317B7A41"/>
    <w:rsid w:val="317F3FBE"/>
    <w:rsid w:val="31825FC2"/>
    <w:rsid w:val="31854832"/>
    <w:rsid w:val="31884274"/>
    <w:rsid w:val="318949FD"/>
    <w:rsid w:val="31896D6B"/>
    <w:rsid w:val="318B0F4D"/>
    <w:rsid w:val="318E5084"/>
    <w:rsid w:val="318E6312"/>
    <w:rsid w:val="31913100"/>
    <w:rsid w:val="319B2E7D"/>
    <w:rsid w:val="31A40D7A"/>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44F27"/>
    <w:rsid w:val="320B5911"/>
    <w:rsid w:val="3217684D"/>
    <w:rsid w:val="3219669D"/>
    <w:rsid w:val="321C63D7"/>
    <w:rsid w:val="321F3F88"/>
    <w:rsid w:val="3221279F"/>
    <w:rsid w:val="32247BF9"/>
    <w:rsid w:val="32255778"/>
    <w:rsid w:val="32312593"/>
    <w:rsid w:val="323159FD"/>
    <w:rsid w:val="32345AB7"/>
    <w:rsid w:val="323716E7"/>
    <w:rsid w:val="323A4444"/>
    <w:rsid w:val="323E67E3"/>
    <w:rsid w:val="324252A3"/>
    <w:rsid w:val="32484AB1"/>
    <w:rsid w:val="324A0310"/>
    <w:rsid w:val="324F7E77"/>
    <w:rsid w:val="32524AFD"/>
    <w:rsid w:val="32530870"/>
    <w:rsid w:val="325900F4"/>
    <w:rsid w:val="325A0237"/>
    <w:rsid w:val="325A2A41"/>
    <w:rsid w:val="325C155E"/>
    <w:rsid w:val="325E2BBD"/>
    <w:rsid w:val="325F6322"/>
    <w:rsid w:val="32603716"/>
    <w:rsid w:val="32667CE0"/>
    <w:rsid w:val="326B5802"/>
    <w:rsid w:val="326C6CF3"/>
    <w:rsid w:val="32732916"/>
    <w:rsid w:val="3279408A"/>
    <w:rsid w:val="327C3D6F"/>
    <w:rsid w:val="327E4D99"/>
    <w:rsid w:val="328D3719"/>
    <w:rsid w:val="328F4974"/>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843738"/>
    <w:rsid w:val="33975AE0"/>
    <w:rsid w:val="339A4201"/>
    <w:rsid w:val="33AA3EDC"/>
    <w:rsid w:val="33B3256A"/>
    <w:rsid w:val="33B94573"/>
    <w:rsid w:val="33BC1F56"/>
    <w:rsid w:val="33C748AE"/>
    <w:rsid w:val="33C75909"/>
    <w:rsid w:val="33CE2B98"/>
    <w:rsid w:val="33D62E30"/>
    <w:rsid w:val="33DA7799"/>
    <w:rsid w:val="33DB47C4"/>
    <w:rsid w:val="33DF593B"/>
    <w:rsid w:val="33E64517"/>
    <w:rsid w:val="33E70260"/>
    <w:rsid w:val="33EB5F44"/>
    <w:rsid w:val="33EF0378"/>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0A7D"/>
    <w:rsid w:val="3430138D"/>
    <w:rsid w:val="34333BE0"/>
    <w:rsid w:val="34347AC3"/>
    <w:rsid w:val="343A0C0F"/>
    <w:rsid w:val="343F6B81"/>
    <w:rsid w:val="344A01A6"/>
    <w:rsid w:val="344E7394"/>
    <w:rsid w:val="345755A8"/>
    <w:rsid w:val="345A0537"/>
    <w:rsid w:val="345B4E2C"/>
    <w:rsid w:val="345D758F"/>
    <w:rsid w:val="34607FB2"/>
    <w:rsid w:val="34615829"/>
    <w:rsid w:val="3462226C"/>
    <w:rsid w:val="346A1BB2"/>
    <w:rsid w:val="346E738B"/>
    <w:rsid w:val="34782AC5"/>
    <w:rsid w:val="34785CD4"/>
    <w:rsid w:val="347875C9"/>
    <w:rsid w:val="347B0E37"/>
    <w:rsid w:val="347D1349"/>
    <w:rsid w:val="347F046C"/>
    <w:rsid w:val="34834A93"/>
    <w:rsid w:val="34874A0D"/>
    <w:rsid w:val="348A7E6B"/>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04FB8"/>
    <w:rsid w:val="35017F79"/>
    <w:rsid w:val="35041BFF"/>
    <w:rsid w:val="351E7FCA"/>
    <w:rsid w:val="351F04F0"/>
    <w:rsid w:val="351F2311"/>
    <w:rsid w:val="351F7E03"/>
    <w:rsid w:val="35206711"/>
    <w:rsid w:val="352367C5"/>
    <w:rsid w:val="352612FC"/>
    <w:rsid w:val="352D1F24"/>
    <w:rsid w:val="352D7415"/>
    <w:rsid w:val="3531792A"/>
    <w:rsid w:val="3539398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9D552A"/>
    <w:rsid w:val="35A444A3"/>
    <w:rsid w:val="35AD47D7"/>
    <w:rsid w:val="35B2395E"/>
    <w:rsid w:val="35B500E7"/>
    <w:rsid w:val="35B77945"/>
    <w:rsid w:val="35BA5897"/>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0C4731"/>
    <w:rsid w:val="361203A7"/>
    <w:rsid w:val="3614405A"/>
    <w:rsid w:val="3615173C"/>
    <w:rsid w:val="3619343A"/>
    <w:rsid w:val="361C631E"/>
    <w:rsid w:val="361E5F79"/>
    <w:rsid w:val="361F0B5A"/>
    <w:rsid w:val="36255FE7"/>
    <w:rsid w:val="362F44EC"/>
    <w:rsid w:val="363139D2"/>
    <w:rsid w:val="36380784"/>
    <w:rsid w:val="363A6D22"/>
    <w:rsid w:val="36453E73"/>
    <w:rsid w:val="365C692E"/>
    <w:rsid w:val="3664672E"/>
    <w:rsid w:val="36684B85"/>
    <w:rsid w:val="36694323"/>
    <w:rsid w:val="367A12DB"/>
    <w:rsid w:val="36847D86"/>
    <w:rsid w:val="36871919"/>
    <w:rsid w:val="368D0336"/>
    <w:rsid w:val="369202E4"/>
    <w:rsid w:val="36993AD8"/>
    <w:rsid w:val="369C1413"/>
    <w:rsid w:val="369E16D7"/>
    <w:rsid w:val="36A03498"/>
    <w:rsid w:val="36B969ED"/>
    <w:rsid w:val="36BE11DF"/>
    <w:rsid w:val="36BF09FB"/>
    <w:rsid w:val="36C276D2"/>
    <w:rsid w:val="36C35683"/>
    <w:rsid w:val="36D53B5B"/>
    <w:rsid w:val="36D849D2"/>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076E5"/>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C7974"/>
    <w:rsid w:val="377F29FA"/>
    <w:rsid w:val="378A2E48"/>
    <w:rsid w:val="378D4721"/>
    <w:rsid w:val="37916CEE"/>
    <w:rsid w:val="3793144B"/>
    <w:rsid w:val="37981B12"/>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93E1B"/>
    <w:rsid w:val="37DA01D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EB6B3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92BCF"/>
    <w:rsid w:val="395A6D19"/>
    <w:rsid w:val="395D0E21"/>
    <w:rsid w:val="39623B52"/>
    <w:rsid w:val="397061BB"/>
    <w:rsid w:val="3972555C"/>
    <w:rsid w:val="397319FF"/>
    <w:rsid w:val="39731B12"/>
    <w:rsid w:val="39765E70"/>
    <w:rsid w:val="39774BBD"/>
    <w:rsid w:val="39847EB1"/>
    <w:rsid w:val="398704BB"/>
    <w:rsid w:val="39882427"/>
    <w:rsid w:val="39926717"/>
    <w:rsid w:val="39970953"/>
    <w:rsid w:val="399E1C0B"/>
    <w:rsid w:val="39A21811"/>
    <w:rsid w:val="39A4022E"/>
    <w:rsid w:val="39AC2500"/>
    <w:rsid w:val="39AD28D5"/>
    <w:rsid w:val="39B261DB"/>
    <w:rsid w:val="39B73027"/>
    <w:rsid w:val="39B857F7"/>
    <w:rsid w:val="39B90E5E"/>
    <w:rsid w:val="39BB3A94"/>
    <w:rsid w:val="39C1671E"/>
    <w:rsid w:val="39C7184A"/>
    <w:rsid w:val="39CB526D"/>
    <w:rsid w:val="39D546A7"/>
    <w:rsid w:val="39DA48F6"/>
    <w:rsid w:val="39DA79CB"/>
    <w:rsid w:val="39DB38B4"/>
    <w:rsid w:val="39E069D4"/>
    <w:rsid w:val="39E258C7"/>
    <w:rsid w:val="39F070CC"/>
    <w:rsid w:val="39F12591"/>
    <w:rsid w:val="39FA1CF1"/>
    <w:rsid w:val="3A001D3B"/>
    <w:rsid w:val="3A016BF0"/>
    <w:rsid w:val="3A0A4EEB"/>
    <w:rsid w:val="3A0C1916"/>
    <w:rsid w:val="3A191E0E"/>
    <w:rsid w:val="3A1C597D"/>
    <w:rsid w:val="3A1C71BF"/>
    <w:rsid w:val="3A2C3BA6"/>
    <w:rsid w:val="3A2E3AF5"/>
    <w:rsid w:val="3A3539DC"/>
    <w:rsid w:val="3A3D4D53"/>
    <w:rsid w:val="3A4C45A1"/>
    <w:rsid w:val="3A4F0430"/>
    <w:rsid w:val="3A544F6C"/>
    <w:rsid w:val="3A577ADC"/>
    <w:rsid w:val="3A5914F9"/>
    <w:rsid w:val="3A5F3F5A"/>
    <w:rsid w:val="3A6D66ED"/>
    <w:rsid w:val="3A7116FC"/>
    <w:rsid w:val="3A736A4A"/>
    <w:rsid w:val="3A76541F"/>
    <w:rsid w:val="3A7D75EF"/>
    <w:rsid w:val="3A881F93"/>
    <w:rsid w:val="3A8B176E"/>
    <w:rsid w:val="3A8D11CC"/>
    <w:rsid w:val="3A8D2D28"/>
    <w:rsid w:val="3A9A07D3"/>
    <w:rsid w:val="3A9C50AA"/>
    <w:rsid w:val="3AA312D0"/>
    <w:rsid w:val="3AAF36AE"/>
    <w:rsid w:val="3AB06715"/>
    <w:rsid w:val="3ABD355C"/>
    <w:rsid w:val="3AC243D8"/>
    <w:rsid w:val="3AC351F1"/>
    <w:rsid w:val="3AC91008"/>
    <w:rsid w:val="3ACB36E9"/>
    <w:rsid w:val="3ACB7871"/>
    <w:rsid w:val="3ACE6056"/>
    <w:rsid w:val="3AD028B4"/>
    <w:rsid w:val="3AD34546"/>
    <w:rsid w:val="3AD847A7"/>
    <w:rsid w:val="3ADA3867"/>
    <w:rsid w:val="3AE15E3F"/>
    <w:rsid w:val="3AEC72C2"/>
    <w:rsid w:val="3AEF76B1"/>
    <w:rsid w:val="3AF15090"/>
    <w:rsid w:val="3AF27012"/>
    <w:rsid w:val="3AFB55B9"/>
    <w:rsid w:val="3B0114CC"/>
    <w:rsid w:val="3B0476DE"/>
    <w:rsid w:val="3B050C15"/>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643A5"/>
    <w:rsid w:val="3B59157A"/>
    <w:rsid w:val="3B5A461E"/>
    <w:rsid w:val="3B5D028A"/>
    <w:rsid w:val="3B6D0581"/>
    <w:rsid w:val="3B6E1A34"/>
    <w:rsid w:val="3B7730F3"/>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218D8"/>
    <w:rsid w:val="3C4A36CF"/>
    <w:rsid w:val="3C4D7FC6"/>
    <w:rsid w:val="3C55687F"/>
    <w:rsid w:val="3C5A0649"/>
    <w:rsid w:val="3C6A6E3E"/>
    <w:rsid w:val="3C6B4CE4"/>
    <w:rsid w:val="3C6C1257"/>
    <w:rsid w:val="3C6D4F86"/>
    <w:rsid w:val="3C6E4611"/>
    <w:rsid w:val="3C6F5C49"/>
    <w:rsid w:val="3C70236E"/>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35325"/>
    <w:rsid w:val="3CE47BC5"/>
    <w:rsid w:val="3CF012B5"/>
    <w:rsid w:val="3CF10224"/>
    <w:rsid w:val="3CF80D73"/>
    <w:rsid w:val="3D03717F"/>
    <w:rsid w:val="3D05649D"/>
    <w:rsid w:val="3D0E2650"/>
    <w:rsid w:val="3D0E7B96"/>
    <w:rsid w:val="3D2558DA"/>
    <w:rsid w:val="3D2E57FB"/>
    <w:rsid w:val="3D311766"/>
    <w:rsid w:val="3D31514E"/>
    <w:rsid w:val="3D3201E6"/>
    <w:rsid w:val="3D344D4E"/>
    <w:rsid w:val="3D433BE3"/>
    <w:rsid w:val="3D4410E3"/>
    <w:rsid w:val="3D4F1820"/>
    <w:rsid w:val="3D505E2B"/>
    <w:rsid w:val="3D54620E"/>
    <w:rsid w:val="3D5D13B1"/>
    <w:rsid w:val="3D6C2810"/>
    <w:rsid w:val="3D6E7928"/>
    <w:rsid w:val="3D744E32"/>
    <w:rsid w:val="3D7845E4"/>
    <w:rsid w:val="3D7A0B27"/>
    <w:rsid w:val="3D7D024E"/>
    <w:rsid w:val="3D806AC3"/>
    <w:rsid w:val="3D8438BD"/>
    <w:rsid w:val="3D8B02DF"/>
    <w:rsid w:val="3D8E2A07"/>
    <w:rsid w:val="3D9E5E72"/>
    <w:rsid w:val="3DA009B3"/>
    <w:rsid w:val="3DA009CC"/>
    <w:rsid w:val="3DA13551"/>
    <w:rsid w:val="3DA3195E"/>
    <w:rsid w:val="3DA54FB2"/>
    <w:rsid w:val="3DA5644E"/>
    <w:rsid w:val="3DAE375E"/>
    <w:rsid w:val="3DAE5F07"/>
    <w:rsid w:val="3DB6531E"/>
    <w:rsid w:val="3DB72CDE"/>
    <w:rsid w:val="3DB9249A"/>
    <w:rsid w:val="3DBC3CE2"/>
    <w:rsid w:val="3DBC5E31"/>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A6459"/>
    <w:rsid w:val="3DFC1272"/>
    <w:rsid w:val="3E0328BF"/>
    <w:rsid w:val="3E0F1CFB"/>
    <w:rsid w:val="3E111D45"/>
    <w:rsid w:val="3E1565B5"/>
    <w:rsid w:val="3E1B0CF6"/>
    <w:rsid w:val="3E1B763A"/>
    <w:rsid w:val="3E1D490C"/>
    <w:rsid w:val="3E1F67AC"/>
    <w:rsid w:val="3E294142"/>
    <w:rsid w:val="3E304585"/>
    <w:rsid w:val="3E343E9B"/>
    <w:rsid w:val="3E374163"/>
    <w:rsid w:val="3E3D4614"/>
    <w:rsid w:val="3E427B9B"/>
    <w:rsid w:val="3E481465"/>
    <w:rsid w:val="3E4E6604"/>
    <w:rsid w:val="3E4E6CDE"/>
    <w:rsid w:val="3E4F6FC8"/>
    <w:rsid w:val="3E513A70"/>
    <w:rsid w:val="3E535F39"/>
    <w:rsid w:val="3E561CA0"/>
    <w:rsid w:val="3E56265A"/>
    <w:rsid w:val="3E5F25B3"/>
    <w:rsid w:val="3E623A41"/>
    <w:rsid w:val="3E633790"/>
    <w:rsid w:val="3E6B7E33"/>
    <w:rsid w:val="3E6D39BE"/>
    <w:rsid w:val="3E727522"/>
    <w:rsid w:val="3E7538EE"/>
    <w:rsid w:val="3E850395"/>
    <w:rsid w:val="3E873689"/>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3243D"/>
    <w:rsid w:val="3ED8339A"/>
    <w:rsid w:val="3EE458A4"/>
    <w:rsid w:val="3EE830E2"/>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CF6640"/>
    <w:rsid w:val="3FD801CC"/>
    <w:rsid w:val="3FDF3057"/>
    <w:rsid w:val="3FF3291D"/>
    <w:rsid w:val="3FF45D31"/>
    <w:rsid w:val="3FFB7550"/>
    <w:rsid w:val="3FFF6A7C"/>
    <w:rsid w:val="40040E62"/>
    <w:rsid w:val="4014244F"/>
    <w:rsid w:val="40170020"/>
    <w:rsid w:val="40224723"/>
    <w:rsid w:val="402C5CC2"/>
    <w:rsid w:val="402C7086"/>
    <w:rsid w:val="40313493"/>
    <w:rsid w:val="4036300F"/>
    <w:rsid w:val="40366445"/>
    <w:rsid w:val="40374A52"/>
    <w:rsid w:val="403D6FBF"/>
    <w:rsid w:val="403F6A53"/>
    <w:rsid w:val="40427926"/>
    <w:rsid w:val="404444AE"/>
    <w:rsid w:val="40461D95"/>
    <w:rsid w:val="40465DB4"/>
    <w:rsid w:val="4051638A"/>
    <w:rsid w:val="405B3C67"/>
    <w:rsid w:val="405C46EC"/>
    <w:rsid w:val="405C4E3B"/>
    <w:rsid w:val="40600D15"/>
    <w:rsid w:val="40777B57"/>
    <w:rsid w:val="40791E0C"/>
    <w:rsid w:val="407B5438"/>
    <w:rsid w:val="407D7B0B"/>
    <w:rsid w:val="408550F0"/>
    <w:rsid w:val="408A4409"/>
    <w:rsid w:val="408F04FF"/>
    <w:rsid w:val="40933A21"/>
    <w:rsid w:val="40953B65"/>
    <w:rsid w:val="409A137C"/>
    <w:rsid w:val="409B757E"/>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02FFF"/>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7C4C96"/>
    <w:rsid w:val="41803DA8"/>
    <w:rsid w:val="41820824"/>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A376E"/>
    <w:rsid w:val="41FE6CB2"/>
    <w:rsid w:val="420556C8"/>
    <w:rsid w:val="421251CC"/>
    <w:rsid w:val="4214720F"/>
    <w:rsid w:val="4217488D"/>
    <w:rsid w:val="421D7B36"/>
    <w:rsid w:val="422345EF"/>
    <w:rsid w:val="42240668"/>
    <w:rsid w:val="4226137B"/>
    <w:rsid w:val="422A1E24"/>
    <w:rsid w:val="422A2BDA"/>
    <w:rsid w:val="422A6940"/>
    <w:rsid w:val="422E486B"/>
    <w:rsid w:val="423400A6"/>
    <w:rsid w:val="424763C8"/>
    <w:rsid w:val="424C78FC"/>
    <w:rsid w:val="42582F93"/>
    <w:rsid w:val="425A4600"/>
    <w:rsid w:val="4265286C"/>
    <w:rsid w:val="42690B24"/>
    <w:rsid w:val="427378E6"/>
    <w:rsid w:val="427C184E"/>
    <w:rsid w:val="427C225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91349"/>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BC172D"/>
    <w:rsid w:val="43C05A98"/>
    <w:rsid w:val="43C211B7"/>
    <w:rsid w:val="43C71A27"/>
    <w:rsid w:val="43C86C83"/>
    <w:rsid w:val="43C87BDE"/>
    <w:rsid w:val="43C95ED6"/>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8E6167"/>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2378EF"/>
    <w:rsid w:val="4524750B"/>
    <w:rsid w:val="45286865"/>
    <w:rsid w:val="452B4AF6"/>
    <w:rsid w:val="452B5E55"/>
    <w:rsid w:val="452F2E18"/>
    <w:rsid w:val="4532333B"/>
    <w:rsid w:val="45327B09"/>
    <w:rsid w:val="45380A36"/>
    <w:rsid w:val="4541568B"/>
    <w:rsid w:val="454F23C2"/>
    <w:rsid w:val="45500C3F"/>
    <w:rsid w:val="455A0801"/>
    <w:rsid w:val="455E51F5"/>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D0DBB"/>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1C00F5"/>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3504B"/>
    <w:rsid w:val="475A014C"/>
    <w:rsid w:val="475B61F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1432B"/>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1A3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801E9"/>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3EDD"/>
    <w:rsid w:val="49C060D9"/>
    <w:rsid w:val="49C67DAB"/>
    <w:rsid w:val="49C7764E"/>
    <w:rsid w:val="49D83A18"/>
    <w:rsid w:val="49D8668C"/>
    <w:rsid w:val="49DB3A45"/>
    <w:rsid w:val="49E73C0B"/>
    <w:rsid w:val="49E92B16"/>
    <w:rsid w:val="49EC1B26"/>
    <w:rsid w:val="49FC7FA2"/>
    <w:rsid w:val="4A017C98"/>
    <w:rsid w:val="4A042139"/>
    <w:rsid w:val="4A080E5C"/>
    <w:rsid w:val="4A0C44E3"/>
    <w:rsid w:val="4A1C1EE0"/>
    <w:rsid w:val="4A1D0A93"/>
    <w:rsid w:val="4A210B7E"/>
    <w:rsid w:val="4A2D197A"/>
    <w:rsid w:val="4A335E86"/>
    <w:rsid w:val="4A357040"/>
    <w:rsid w:val="4A366A1B"/>
    <w:rsid w:val="4A3B0DBF"/>
    <w:rsid w:val="4A3C074A"/>
    <w:rsid w:val="4A3C3645"/>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74D15"/>
    <w:rsid w:val="4AF30717"/>
    <w:rsid w:val="4AF54381"/>
    <w:rsid w:val="4AFF07F1"/>
    <w:rsid w:val="4AFF2915"/>
    <w:rsid w:val="4B000128"/>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A62F3"/>
    <w:rsid w:val="4BAC02EC"/>
    <w:rsid w:val="4BAD02A0"/>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2D50A6"/>
    <w:rsid w:val="4C300A96"/>
    <w:rsid w:val="4C366339"/>
    <w:rsid w:val="4C3900BA"/>
    <w:rsid w:val="4C3972A1"/>
    <w:rsid w:val="4C443324"/>
    <w:rsid w:val="4C4A1538"/>
    <w:rsid w:val="4C4B5CF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76305"/>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4F32B7"/>
    <w:rsid w:val="4D501E9E"/>
    <w:rsid w:val="4D5545A3"/>
    <w:rsid w:val="4D56242D"/>
    <w:rsid w:val="4D5E313C"/>
    <w:rsid w:val="4D60132F"/>
    <w:rsid w:val="4D63794E"/>
    <w:rsid w:val="4D69275F"/>
    <w:rsid w:val="4D696340"/>
    <w:rsid w:val="4D6E1562"/>
    <w:rsid w:val="4D6E2B65"/>
    <w:rsid w:val="4D716B09"/>
    <w:rsid w:val="4D717673"/>
    <w:rsid w:val="4D7464F6"/>
    <w:rsid w:val="4D7A1765"/>
    <w:rsid w:val="4D7D4CCF"/>
    <w:rsid w:val="4D821CF2"/>
    <w:rsid w:val="4D8412B2"/>
    <w:rsid w:val="4D841638"/>
    <w:rsid w:val="4D8A3A34"/>
    <w:rsid w:val="4D8C2260"/>
    <w:rsid w:val="4D8F063D"/>
    <w:rsid w:val="4D95193A"/>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3468B"/>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652928"/>
    <w:rsid w:val="4F727B71"/>
    <w:rsid w:val="4F7457B4"/>
    <w:rsid w:val="4F77430D"/>
    <w:rsid w:val="4F7B78F2"/>
    <w:rsid w:val="4F7F2C82"/>
    <w:rsid w:val="4F874785"/>
    <w:rsid w:val="4F885556"/>
    <w:rsid w:val="4F8906F1"/>
    <w:rsid w:val="4F8C1C07"/>
    <w:rsid w:val="4F8C6DE9"/>
    <w:rsid w:val="4F94645F"/>
    <w:rsid w:val="4F956923"/>
    <w:rsid w:val="4F976963"/>
    <w:rsid w:val="4F9C0E3D"/>
    <w:rsid w:val="4F9C1E6A"/>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46771"/>
    <w:rsid w:val="50174394"/>
    <w:rsid w:val="501A0BBE"/>
    <w:rsid w:val="501A21E0"/>
    <w:rsid w:val="5021442D"/>
    <w:rsid w:val="502226B7"/>
    <w:rsid w:val="50290847"/>
    <w:rsid w:val="503175D5"/>
    <w:rsid w:val="5034215C"/>
    <w:rsid w:val="503625F2"/>
    <w:rsid w:val="503A6544"/>
    <w:rsid w:val="503C53AC"/>
    <w:rsid w:val="5046799C"/>
    <w:rsid w:val="50491BF2"/>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0A61B6"/>
    <w:rsid w:val="511013F5"/>
    <w:rsid w:val="511462DE"/>
    <w:rsid w:val="511934F5"/>
    <w:rsid w:val="511A650A"/>
    <w:rsid w:val="511B7FED"/>
    <w:rsid w:val="511D524D"/>
    <w:rsid w:val="51211654"/>
    <w:rsid w:val="5133763C"/>
    <w:rsid w:val="51393A83"/>
    <w:rsid w:val="513B3DF9"/>
    <w:rsid w:val="51401B57"/>
    <w:rsid w:val="51480A97"/>
    <w:rsid w:val="51540609"/>
    <w:rsid w:val="51724F8D"/>
    <w:rsid w:val="51756972"/>
    <w:rsid w:val="517E1E1F"/>
    <w:rsid w:val="51813564"/>
    <w:rsid w:val="518167F0"/>
    <w:rsid w:val="51844B36"/>
    <w:rsid w:val="51896510"/>
    <w:rsid w:val="518B1B6A"/>
    <w:rsid w:val="518B739B"/>
    <w:rsid w:val="519410BA"/>
    <w:rsid w:val="51965D8A"/>
    <w:rsid w:val="519F1F6B"/>
    <w:rsid w:val="51AB65B4"/>
    <w:rsid w:val="51B66A68"/>
    <w:rsid w:val="51BC09C0"/>
    <w:rsid w:val="51BD7EC2"/>
    <w:rsid w:val="51C44E72"/>
    <w:rsid w:val="51C819AA"/>
    <w:rsid w:val="51CC7C75"/>
    <w:rsid w:val="51CD5E2E"/>
    <w:rsid w:val="51D00AA7"/>
    <w:rsid w:val="51D05768"/>
    <w:rsid w:val="51D230DC"/>
    <w:rsid w:val="51D34DB4"/>
    <w:rsid w:val="51DA0FA7"/>
    <w:rsid w:val="51E27B8C"/>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1C56"/>
    <w:rsid w:val="52363194"/>
    <w:rsid w:val="52365463"/>
    <w:rsid w:val="5237135B"/>
    <w:rsid w:val="5240020F"/>
    <w:rsid w:val="52441580"/>
    <w:rsid w:val="5247336B"/>
    <w:rsid w:val="524A5C68"/>
    <w:rsid w:val="52532968"/>
    <w:rsid w:val="52546140"/>
    <w:rsid w:val="525D3774"/>
    <w:rsid w:val="525D5F17"/>
    <w:rsid w:val="525F53B1"/>
    <w:rsid w:val="52643DC8"/>
    <w:rsid w:val="52685DAE"/>
    <w:rsid w:val="526D0958"/>
    <w:rsid w:val="52734368"/>
    <w:rsid w:val="52836832"/>
    <w:rsid w:val="52924B44"/>
    <w:rsid w:val="529A7E86"/>
    <w:rsid w:val="52A15492"/>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27648A"/>
    <w:rsid w:val="53311BF2"/>
    <w:rsid w:val="533D4C85"/>
    <w:rsid w:val="53447CBE"/>
    <w:rsid w:val="53456AB3"/>
    <w:rsid w:val="534641E0"/>
    <w:rsid w:val="534718C6"/>
    <w:rsid w:val="53496F02"/>
    <w:rsid w:val="534B2225"/>
    <w:rsid w:val="534D106F"/>
    <w:rsid w:val="534F4759"/>
    <w:rsid w:val="53540D68"/>
    <w:rsid w:val="535A036F"/>
    <w:rsid w:val="53624B78"/>
    <w:rsid w:val="536D1FA0"/>
    <w:rsid w:val="53772DC7"/>
    <w:rsid w:val="537920B8"/>
    <w:rsid w:val="53794812"/>
    <w:rsid w:val="5381746B"/>
    <w:rsid w:val="538459BE"/>
    <w:rsid w:val="53850593"/>
    <w:rsid w:val="538E4601"/>
    <w:rsid w:val="5397293F"/>
    <w:rsid w:val="539D297E"/>
    <w:rsid w:val="53A065E4"/>
    <w:rsid w:val="53A1457E"/>
    <w:rsid w:val="53A22DC5"/>
    <w:rsid w:val="53A32E20"/>
    <w:rsid w:val="53AE4BE8"/>
    <w:rsid w:val="53B151E7"/>
    <w:rsid w:val="53B5455A"/>
    <w:rsid w:val="53BB16B1"/>
    <w:rsid w:val="53BB4E26"/>
    <w:rsid w:val="53BC6427"/>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3F202A"/>
    <w:rsid w:val="54412BF0"/>
    <w:rsid w:val="54422EDA"/>
    <w:rsid w:val="544417C9"/>
    <w:rsid w:val="544B50D5"/>
    <w:rsid w:val="54514458"/>
    <w:rsid w:val="54560958"/>
    <w:rsid w:val="546A78D3"/>
    <w:rsid w:val="54767E31"/>
    <w:rsid w:val="54781903"/>
    <w:rsid w:val="548878FA"/>
    <w:rsid w:val="548A1E4E"/>
    <w:rsid w:val="548D289E"/>
    <w:rsid w:val="54910BA4"/>
    <w:rsid w:val="549A0616"/>
    <w:rsid w:val="549B20E6"/>
    <w:rsid w:val="549E3FD7"/>
    <w:rsid w:val="54A60315"/>
    <w:rsid w:val="54A60A72"/>
    <w:rsid w:val="54A7458A"/>
    <w:rsid w:val="54B86248"/>
    <w:rsid w:val="54C24B82"/>
    <w:rsid w:val="54C50B9C"/>
    <w:rsid w:val="54CA3C93"/>
    <w:rsid w:val="54D00FCE"/>
    <w:rsid w:val="54D51870"/>
    <w:rsid w:val="54D90E80"/>
    <w:rsid w:val="54E21F4F"/>
    <w:rsid w:val="54E71077"/>
    <w:rsid w:val="54E925A9"/>
    <w:rsid w:val="54EC65A5"/>
    <w:rsid w:val="54F01E14"/>
    <w:rsid w:val="54F54248"/>
    <w:rsid w:val="54FE0D5F"/>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08DB"/>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67AD8"/>
    <w:rsid w:val="55E77B0B"/>
    <w:rsid w:val="55EE3558"/>
    <w:rsid w:val="55F3287B"/>
    <w:rsid w:val="55FC1DF1"/>
    <w:rsid w:val="55FD5512"/>
    <w:rsid w:val="55FD6C2D"/>
    <w:rsid w:val="5602472C"/>
    <w:rsid w:val="5611799E"/>
    <w:rsid w:val="5614039E"/>
    <w:rsid w:val="561978EB"/>
    <w:rsid w:val="561D0938"/>
    <w:rsid w:val="56254844"/>
    <w:rsid w:val="5627749C"/>
    <w:rsid w:val="562C48A4"/>
    <w:rsid w:val="562E289A"/>
    <w:rsid w:val="56324964"/>
    <w:rsid w:val="5635337A"/>
    <w:rsid w:val="56366E0D"/>
    <w:rsid w:val="563B1048"/>
    <w:rsid w:val="563C2D0A"/>
    <w:rsid w:val="563F1C04"/>
    <w:rsid w:val="5646524C"/>
    <w:rsid w:val="5649734E"/>
    <w:rsid w:val="564E3688"/>
    <w:rsid w:val="56514294"/>
    <w:rsid w:val="566355DD"/>
    <w:rsid w:val="56680BC9"/>
    <w:rsid w:val="56690DA7"/>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0740B"/>
    <w:rsid w:val="57320543"/>
    <w:rsid w:val="57351A93"/>
    <w:rsid w:val="573D0DE5"/>
    <w:rsid w:val="574940F5"/>
    <w:rsid w:val="575163DC"/>
    <w:rsid w:val="57564B03"/>
    <w:rsid w:val="575718A5"/>
    <w:rsid w:val="57576764"/>
    <w:rsid w:val="575D1406"/>
    <w:rsid w:val="575D7DC0"/>
    <w:rsid w:val="57646E8D"/>
    <w:rsid w:val="57650A3D"/>
    <w:rsid w:val="57711DF8"/>
    <w:rsid w:val="577269D1"/>
    <w:rsid w:val="577D7C19"/>
    <w:rsid w:val="57820DD4"/>
    <w:rsid w:val="578474C5"/>
    <w:rsid w:val="57883154"/>
    <w:rsid w:val="578F5E8E"/>
    <w:rsid w:val="578F659F"/>
    <w:rsid w:val="5795251B"/>
    <w:rsid w:val="579677D0"/>
    <w:rsid w:val="57984454"/>
    <w:rsid w:val="579C47BB"/>
    <w:rsid w:val="579D6CE4"/>
    <w:rsid w:val="579F608F"/>
    <w:rsid w:val="57A14D1F"/>
    <w:rsid w:val="57A43F9B"/>
    <w:rsid w:val="57A91D3B"/>
    <w:rsid w:val="57AD63CA"/>
    <w:rsid w:val="57B12D5D"/>
    <w:rsid w:val="57B65178"/>
    <w:rsid w:val="57BF4BA2"/>
    <w:rsid w:val="57C0641D"/>
    <w:rsid w:val="57C52144"/>
    <w:rsid w:val="57C648C9"/>
    <w:rsid w:val="57C9266E"/>
    <w:rsid w:val="57D16940"/>
    <w:rsid w:val="57D20BE2"/>
    <w:rsid w:val="57D5434D"/>
    <w:rsid w:val="57E044E1"/>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206E5"/>
    <w:rsid w:val="59037DF7"/>
    <w:rsid w:val="590A5CB9"/>
    <w:rsid w:val="590C4050"/>
    <w:rsid w:val="590C6777"/>
    <w:rsid w:val="591531CC"/>
    <w:rsid w:val="59175B2C"/>
    <w:rsid w:val="591B200C"/>
    <w:rsid w:val="59314A2C"/>
    <w:rsid w:val="593712A6"/>
    <w:rsid w:val="59376AEA"/>
    <w:rsid w:val="59384413"/>
    <w:rsid w:val="59391116"/>
    <w:rsid w:val="59407EC1"/>
    <w:rsid w:val="59450184"/>
    <w:rsid w:val="594C4BE4"/>
    <w:rsid w:val="59520002"/>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632A1"/>
    <w:rsid w:val="59D75E4C"/>
    <w:rsid w:val="59D96101"/>
    <w:rsid w:val="59EE4079"/>
    <w:rsid w:val="59F04440"/>
    <w:rsid w:val="59F141F6"/>
    <w:rsid w:val="59FC056D"/>
    <w:rsid w:val="59FF3986"/>
    <w:rsid w:val="5A02602A"/>
    <w:rsid w:val="5A0B4DE2"/>
    <w:rsid w:val="5A104541"/>
    <w:rsid w:val="5A16478D"/>
    <w:rsid w:val="5A1E3F86"/>
    <w:rsid w:val="5A213C60"/>
    <w:rsid w:val="5A21777F"/>
    <w:rsid w:val="5A2250DB"/>
    <w:rsid w:val="5A2331A8"/>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45BA"/>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25575"/>
    <w:rsid w:val="5AC4568B"/>
    <w:rsid w:val="5AC465B0"/>
    <w:rsid w:val="5AC9126A"/>
    <w:rsid w:val="5ACB4402"/>
    <w:rsid w:val="5ACD5F94"/>
    <w:rsid w:val="5AD004C7"/>
    <w:rsid w:val="5AD140B1"/>
    <w:rsid w:val="5AD7618C"/>
    <w:rsid w:val="5ADC54ED"/>
    <w:rsid w:val="5AE627DD"/>
    <w:rsid w:val="5AE65AC1"/>
    <w:rsid w:val="5AE72CFB"/>
    <w:rsid w:val="5AE75B53"/>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72DC1"/>
    <w:rsid w:val="5BA857C0"/>
    <w:rsid w:val="5BAF0D57"/>
    <w:rsid w:val="5BBC3894"/>
    <w:rsid w:val="5BBC7CD9"/>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06D7C"/>
    <w:rsid w:val="5C42208F"/>
    <w:rsid w:val="5C4302AF"/>
    <w:rsid w:val="5C496E06"/>
    <w:rsid w:val="5C501594"/>
    <w:rsid w:val="5C530A3F"/>
    <w:rsid w:val="5C533B56"/>
    <w:rsid w:val="5C5820E1"/>
    <w:rsid w:val="5C5D3398"/>
    <w:rsid w:val="5C63455C"/>
    <w:rsid w:val="5C690B0C"/>
    <w:rsid w:val="5C7103F1"/>
    <w:rsid w:val="5C734616"/>
    <w:rsid w:val="5C8E4D46"/>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42E50"/>
    <w:rsid w:val="5DA81A7E"/>
    <w:rsid w:val="5DA81B3F"/>
    <w:rsid w:val="5DAE7141"/>
    <w:rsid w:val="5DB62AA6"/>
    <w:rsid w:val="5DB76529"/>
    <w:rsid w:val="5DC0151D"/>
    <w:rsid w:val="5DC53FF5"/>
    <w:rsid w:val="5DCA57A1"/>
    <w:rsid w:val="5DCE4D4E"/>
    <w:rsid w:val="5DD02444"/>
    <w:rsid w:val="5DD21316"/>
    <w:rsid w:val="5DD30C3F"/>
    <w:rsid w:val="5DD649D0"/>
    <w:rsid w:val="5DDC52FB"/>
    <w:rsid w:val="5DE00370"/>
    <w:rsid w:val="5DE00F62"/>
    <w:rsid w:val="5DE05104"/>
    <w:rsid w:val="5DE20BD2"/>
    <w:rsid w:val="5DE24087"/>
    <w:rsid w:val="5DE26ACA"/>
    <w:rsid w:val="5DE37EA6"/>
    <w:rsid w:val="5DE518A9"/>
    <w:rsid w:val="5DEA787A"/>
    <w:rsid w:val="5DEE4F56"/>
    <w:rsid w:val="5DF23E5C"/>
    <w:rsid w:val="5DF32F4F"/>
    <w:rsid w:val="5DF946B2"/>
    <w:rsid w:val="5DFA04F6"/>
    <w:rsid w:val="5DFC0198"/>
    <w:rsid w:val="5E034523"/>
    <w:rsid w:val="5E090D92"/>
    <w:rsid w:val="5E0F732F"/>
    <w:rsid w:val="5E146038"/>
    <w:rsid w:val="5E2D2F8F"/>
    <w:rsid w:val="5E2E2427"/>
    <w:rsid w:val="5E2E257F"/>
    <w:rsid w:val="5E2F27BA"/>
    <w:rsid w:val="5E3068B0"/>
    <w:rsid w:val="5E335822"/>
    <w:rsid w:val="5E3969C7"/>
    <w:rsid w:val="5E407912"/>
    <w:rsid w:val="5E433AC6"/>
    <w:rsid w:val="5E450C44"/>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CE7ED8"/>
    <w:rsid w:val="5ED01BB4"/>
    <w:rsid w:val="5ED650D9"/>
    <w:rsid w:val="5ED75DC6"/>
    <w:rsid w:val="5ED8510A"/>
    <w:rsid w:val="5ED938A6"/>
    <w:rsid w:val="5EDA017A"/>
    <w:rsid w:val="5EDE0371"/>
    <w:rsid w:val="5EDF33E5"/>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26C9D"/>
    <w:rsid w:val="5F254AD4"/>
    <w:rsid w:val="5F2C1ADA"/>
    <w:rsid w:val="5F307E55"/>
    <w:rsid w:val="5F3C6F75"/>
    <w:rsid w:val="5F403104"/>
    <w:rsid w:val="5F415D9D"/>
    <w:rsid w:val="5F4744F9"/>
    <w:rsid w:val="5F496628"/>
    <w:rsid w:val="5F5111A7"/>
    <w:rsid w:val="5F514A63"/>
    <w:rsid w:val="5F5C1FA9"/>
    <w:rsid w:val="5F5D2245"/>
    <w:rsid w:val="5F5F4C16"/>
    <w:rsid w:val="5F692F24"/>
    <w:rsid w:val="5F6A0B5D"/>
    <w:rsid w:val="5F6C211E"/>
    <w:rsid w:val="5F6C79BB"/>
    <w:rsid w:val="5F727DD0"/>
    <w:rsid w:val="5F734791"/>
    <w:rsid w:val="5F7536CD"/>
    <w:rsid w:val="5F794FC5"/>
    <w:rsid w:val="5F7C1730"/>
    <w:rsid w:val="5F7D7874"/>
    <w:rsid w:val="5F7F4748"/>
    <w:rsid w:val="5F872BDD"/>
    <w:rsid w:val="5F8A1362"/>
    <w:rsid w:val="5F9014AE"/>
    <w:rsid w:val="5F9A3324"/>
    <w:rsid w:val="5FA2777D"/>
    <w:rsid w:val="5FA55820"/>
    <w:rsid w:val="5FA948D4"/>
    <w:rsid w:val="5FB372F0"/>
    <w:rsid w:val="5FC017AD"/>
    <w:rsid w:val="5FC51452"/>
    <w:rsid w:val="5FC729F3"/>
    <w:rsid w:val="5FC83815"/>
    <w:rsid w:val="5FD7706A"/>
    <w:rsid w:val="5FDB4F3D"/>
    <w:rsid w:val="5FE10819"/>
    <w:rsid w:val="5FE30BA2"/>
    <w:rsid w:val="5FE9054F"/>
    <w:rsid w:val="5FF446A9"/>
    <w:rsid w:val="5FF85070"/>
    <w:rsid w:val="5FF940F0"/>
    <w:rsid w:val="5FF96A19"/>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13FA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FD3"/>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03EEE"/>
    <w:rsid w:val="61D9129E"/>
    <w:rsid w:val="61E363D8"/>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45753"/>
    <w:rsid w:val="62660FBE"/>
    <w:rsid w:val="62671568"/>
    <w:rsid w:val="626E1485"/>
    <w:rsid w:val="62724472"/>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5EA5"/>
    <w:rsid w:val="62B86FA9"/>
    <w:rsid w:val="62BC3E88"/>
    <w:rsid w:val="62C002AA"/>
    <w:rsid w:val="62D67E2B"/>
    <w:rsid w:val="62D901BE"/>
    <w:rsid w:val="62DF4F75"/>
    <w:rsid w:val="62E15891"/>
    <w:rsid w:val="62E76DF3"/>
    <w:rsid w:val="62EA5C2C"/>
    <w:rsid w:val="62F562C0"/>
    <w:rsid w:val="62FD04F8"/>
    <w:rsid w:val="62FF6655"/>
    <w:rsid w:val="63074D4D"/>
    <w:rsid w:val="630E2EB5"/>
    <w:rsid w:val="63126B2F"/>
    <w:rsid w:val="63133D38"/>
    <w:rsid w:val="631779BD"/>
    <w:rsid w:val="632E498D"/>
    <w:rsid w:val="633336D4"/>
    <w:rsid w:val="63350F4B"/>
    <w:rsid w:val="63351903"/>
    <w:rsid w:val="6335724C"/>
    <w:rsid w:val="6341499B"/>
    <w:rsid w:val="63416F64"/>
    <w:rsid w:val="634325ED"/>
    <w:rsid w:val="63443AEC"/>
    <w:rsid w:val="634802B3"/>
    <w:rsid w:val="63547A08"/>
    <w:rsid w:val="63574F6E"/>
    <w:rsid w:val="635C28DF"/>
    <w:rsid w:val="63602152"/>
    <w:rsid w:val="636075B2"/>
    <w:rsid w:val="63652712"/>
    <w:rsid w:val="636A0F15"/>
    <w:rsid w:val="637030CB"/>
    <w:rsid w:val="637A63EB"/>
    <w:rsid w:val="6385218B"/>
    <w:rsid w:val="638541CF"/>
    <w:rsid w:val="63864A92"/>
    <w:rsid w:val="638958C1"/>
    <w:rsid w:val="639154D4"/>
    <w:rsid w:val="63951C95"/>
    <w:rsid w:val="639A0875"/>
    <w:rsid w:val="639B71D2"/>
    <w:rsid w:val="63A17DFD"/>
    <w:rsid w:val="63AB1FE1"/>
    <w:rsid w:val="63B01ED8"/>
    <w:rsid w:val="63B5452C"/>
    <w:rsid w:val="63B76AE2"/>
    <w:rsid w:val="63BD439C"/>
    <w:rsid w:val="63BD7C68"/>
    <w:rsid w:val="63C41DD1"/>
    <w:rsid w:val="63C72372"/>
    <w:rsid w:val="63C977A8"/>
    <w:rsid w:val="63CC30E1"/>
    <w:rsid w:val="63D25757"/>
    <w:rsid w:val="63D32D5D"/>
    <w:rsid w:val="63D72CE7"/>
    <w:rsid w:val="63E03FEA"/>
    <w:rsid w:val="63E33D27"/>
    <w:rsid w:val="63E96742"/>
    <w:rsid w:val="63EE5BED"/>
    <w:rsid w:val="63F25DA5"/>
    <w:rsid w:val="63FC5574"/>
    <w:rsid w:val="63FF74B5"/>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8F59E0"/>
    <w:rsid w:val="649040B2"/>
    <w:rsid w:val="64932164"/>
    <w:rsid w:val="64990A00"/>
    <w:rsid w:val="649C4ECA"/>
    <w:rsid w:val="64AB6B0F"/>
    <w:rsid w:val="64AD64C8"/>
    <w:rsid w:val="64AE4EA4"/>
    <w:rsid w:val="64B11EFC"/>
    <w:rsid w:val="64B34835"/>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4E11"/>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81A89"/>
    <w:rsid w:val="653F3F4B"/>
    <w:rsid w:val="6540130A"/>
    <w:rsid w:val="65442614"/>
    <w:rsid w:val="65474108"/>
    <w:rsid w:val="65483234"/>
    <w:rsid w:val="654A70DD"/>
    <w:rsid w:val="65506794"/>
    <w:rsid w:val="65572F3C"/>
    <w:rsid w:val="655A3450"/>
    <w:rsid w:val="655E4E68"/>
    <w:rsid w:val="656503D7"/>
    <w:rsid w:val="656630D1"/>
    <w:rsid w:val="657024EB"/>
    <w:rsid w:val="6570285A"/>
    <w:rsid w:val="65745028"/>
    <w:rsid w:val="65776C14"/>
    <w:rsid w:val="65786867"/>
    <w:rsid w:val="657A5192"/>
    <w:rsid w:val="657C01A2"/>
    <w:rsid w:val="657D055C"/>
    <w:rsid w:val="65880D68"/>
    <w:rsid w:val="6588700C"/>
    <w:rsid w:val="658F3432"/>
    <w:rsid w:val="659000AC"/>
    <w:rsid w:val="65945ABB"/>
    <w:rsid w:val="6595479B"/>
    <w:rsid w:val="659E4899"/>
    <w:rsid w:val="65AF5A95"/>
    <w:rsid w:val="65B43B78"/>
    <w:rsid w:val="65B50B8D"/>
    <w:rsid w:val="65B63190"/>
    <w:rsid w:val="65BC64AA"/>
    <w:rsid w:val="65C83518"/>
    <w:rsid w:val="65E06B23"/>
    <w:rsid w:val="65E731DB"/>
    <w:rsid w:val="65EB61D4"/>
    <w:rsid w:val="65EE4D2A"/>
    <w:rsid w:val="65F04330"/>
    <w:rsid w:val="65F20F15"/>
    <w:rsid w:val="65F3675D"/>
    <w:rsid w:val="65F618D7"/>
    <w:rsid w:val="65F80E56"/>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C1C11"/>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C0DCB"/>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73698"/>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13000"/>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00969"/>
    <w:rsid w:val="68426F29"/>
    <w:rsid w:val="68430152"/>
    <w:rsid w:val="68466DDB"/>
    <w:rsid w:val="684A684C"/>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0467B"/>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536AB"/>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3126D"/>
    <w:rsid w:val="698922A3"/>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12F8"/>
    <w:rsid w:val="6A3C7CC8"/>
    <w:rsid w:val="6A3F27B9"/>
    <w:rsid w:val="6A404E3D"/>
    <w:rsid w:val="6A410176"/>
    <w:rsid w:val="6A434B44"/>
    <w:rsid w:val="6A4574D8"/>
    <w:rsid w:val="6A531D1B"/>
    <w:rsid w:val="6A5B3F34"/>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BA2A62"/>
    <w:rsid w:val="6AC032BC"/>
    <w:rsid w:val="6AC8092A"/>
    <w:rsid w:val="6AD06A6E"/>
    <w:rsid w:val="6AD8058D"/>
    <w:rsid w:val="6AE0794B"/>
    <w:rsid w:val="6AE1028F"/>
    <w:rsid w:val="6AE51730"/>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77900"/>
    <w:rsid w:val="6B7A615E"/>
    <w:rsid w:val="6B7E0908"/>
    <w:rsid w:val="6B821A80"/>
    <w:rsid w:val="6B842643"/>
    <w:rsid w:val="6B8E6F7C"/>
    <w:rsid w:val="6B8E767A"/>
    <w:rsid w:val="6B923B2B"/>
    <w:rsid w:val="6B9429D1"/>
    <w:rsid w:val="6B960B11"/>
    <w:rsid w:val="6B98025A"/>
    <w:rsid w:val="6B9C3C63"/>
    <w:rsid w:val="6BA31A09"/>
    <w:rsid w:val="6BA75497"/>
    <w:rsid w:val="6BA9582F"/>
    <w:rsid w:val="6BAD3EBF"/>
    <w:rsid w:val="6BB176F7"/>
    <w:rsid w:val="6BB17E5A"/>
    <w:rsid w:val="6BB35690"/>
    <w:rsid w:val="6BB455C1"/>
    <w:rsid w:val="6BB74227"/>
    <w:rsid w:val="6BBA66B5"/>
    <w:rsid w:val="6BBA68E4"/>
    <w:rsid w:val="6BBB4885"/>
    <w:rsid w:val="6BBE76E4"/>
    <w:rsid w:val="6BC9376F"/>
    <w:rsid w:val="6BD1009A"/>
    <w:rsid w:val="6BD5079D"/>
    <w:rsid w:val="6BE0583E"/>
    <w:rsid w:val="6BE0639E"/>
    <w:rsid w:val="6BE444FA"/>
    <w:rsid w:val="6BE47E21"/>
    <w:rsid w:val="6BEC66EE"/>
    <w:rsid w:val="6BF07EAA"/>
    <w:rsid w:val="6BF14A0C"/>
    <w:rsid w:val="6BF20FB8"/>
    <w:rsid w:val="6C0537C8"/>
    <w:rsid w:val="6C084114"/>
    <w:rsid w:val="6C093B94"/>
    <w:rsid w:val="6C0F41E1"/>
    <w:rsid w:val="6C166603"/>
    <w:rsid w:val="6C197FCB"/>
    <w:rsid w:val="6C267A02"/>
    <w:rsid w:val="6C29167F"/>
    <w:rsid w:val="6C2A6CEE"/>
    <w:rsid w:val="6C2B2504"/>
    <w:rsid w:val="6C2B4363"/>
    <w:rsid w:val="6C304F19"/>
    <w:rsid w:val="6C3053D9"/>
    <w:rsid w:val="6C356ABB"/>
    <w:rsid w:val="6C38645D"/>
    <w:rsid w:val="6C4377B6"/>
    <w:rsid w:val="6C517C60"/>
    <w:rsid w:val="6C5405E0"/>
    <w:rsid w:val="6C551B49"/>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742ED"/>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B21EE"/>
    <w:rsid w:val="6D8F663A"/>
    <w:rsid w:val="6D921648"/>
    <w:rsid w:val="6D927D4F"/>
    <w:rsid w:val="6D943E51"/>
    <w:rsid w:val="6D9A7415"/>
    <w:rsid w:val="6D9C4BDA"/>
    <w:rsid w:val="6D9F77B2"/>
    <w:rsid w:val="6DA22A3B"/>
    <w:rsid w:val="6DA71CDB"/>
    <w:rsid w:val="6DAD7B23"/>
    <w:rsid w:val="6DB14A26"/>
    <w:rsid w:val="6DB43CBF"/>
    <w:rsid w:val="6DB65267"/>
    <w:rsid w:val="6DBE7C28"/>
    <w:rsid w:val="6DC616C6"/>
    <w:rsid w:val="6DC869CE"/>
    <w:rsid w:val="6DC95CAA"/>
    <w:rsid w:val="6DCA662C"/>
    <w:rsid w:val="6DCE70D9"/>
    <w:rsid w:val="6DD54A74"/>
    <w:rsid w:val="6DE512BE"/>
    <w:rsid w:val="6DE61A59"/>
    <w:rsid w:val="6DEA6AB1"/>
    <w:rsid w:val="6DEC6482"/>
    <w:rsid w:val="6DED1851"/>
    <w:rsid w:val="6DF73D6D"/>
    <w:rsid w:val="6DFB5040"/>
    <w:rsid w:val="6DFC483A"/>
    <w:rsid w:val="6DFE1195"/>
    <w:rsid w:val="6DFF0BBF"/>
    <w:rsid w:val="6DFF24B3"/>
    <w:rsid w:val="6E047794"/>
    <w:rsid w:val="6E0B3FCF"/>
    <w:rsid w:val="6E0B72B9"/>
    <w:rsid w:val="6E0C686E"/>
    <w:rsid w:val="6E1451C2"/>
    <w:rsid w:val="6E162FFC"/>
    <w:rsid w:val="6E2703E9"/>
    <w:rsid w:val="6E2B7861"/>
    <w:rsid w:val="6E2F1A84"/>
    <w:rsid w:val="6E3D153A"/>
    <w:rsid w:val="6E3D457A"/>
    <w:rsid w:val="6E471FA2"/>
    <w:rsid w:val="6E4A41E5"/>
    <w:rsid w:val="6E51768B"/>
    <w:rsid w:val="6E56438B"/>
    <w:rsid w:val="6E566306"/>
    <w:rsid w:val="6E5F53C9"/>
    <w:rsid w:val="6E6A1EA2"/>
    <w:rsid w:val="6E6B1B2A"/>
    <w:rsid w:val="6E6D6DD6"/>
    <w:rsid w:val="6E6F0F38"/>
    <w:rsid w:val="6E7234C8"/>
    <w:rsid w:val="6E74290C"/>
    <w:rsid w:val="6E775B0D"/>
    <w:rsid w:val="6E7B4978"/>
    <w:rsid w:val="6E7C180A"/>
    <w:rsid w:val="6E8677E9"/>
    <w:rsid w:val="6E871FD2"/>
    <w:rsid w:val="6E8A6695"/>
    <w:rsid w:val="6E8D29C3"/>
    <w:rsid w:val="6E8F301E"/>
    <w:rsid w:val="6E8F6DAA"/>
    <w:rsid w:val="6E9060BF"/>
    <w:rsid w:val="6EA73D3F"/>
    <w:rsid w:val="6EAE21D1"/>
    <w:rsid w:val="6EB0265D"/>
    <w:rsid w:val="6EB4297B"/>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2E26B3"/>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DF5BC9"/>
    <w:rsid w:val="6FE06922"/>
    <w:rsid w:val="6FE11A6A"/>
    <w:rsid w:val="6FE91832"/>
    <w:rsid w:val="6FEC7139"/>
    <w:rsid w:val="6FF00E79"/>
    <w:rsid w:val="6FF15C82"/>
    <w:rsid w:val="6FFB18A6"/>
    <w:rsid w:val="6FFD13E7"/>
    <w:rsid w:val="70035B63"/>
    <w:rsid w:val="70036B75"/>
    <w:rsid w:val="70057CA4"/>
    <w:rsid w:val="70084791"/>
    <w:rsid w:val="700B4CC3"/>
    <w:rsid w:val="700E3BD9"/>
    <w:rsid w:val="701B650B"/>
    <w:rsid w:val="70200403"/>
    <w:rsid w:val="702101C4"/>
    <w:rsid w:val="70233697"/>
    <w:rsid w:val="702F5DFE"/>
    <w:rsid w:val="702F7F84"/>
    <w:rsid w:val="7041670E"/>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679E3"/>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E86ADD"/>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8B2947"/>
    <w:rsid w:val="718C02FE"/>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05DC2"/>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104B8"/>
    <w:rsid w:val="724A4324"/>
    <w:rsid w:val="724D6F66"/>
    <w:rsid w:val="72522723"/>
    <w:rsid w:val="72526D2A"/>
    <w:rsid w:val="72531906"/>
    <w:rsid w:val="725340BD"/>
    <w:rsid w:val="72542A36"/>
    <w:rsid w:val="72555383"/>
    <w:rsid w:val="725B002B"/>
    <w:rsid w:val="726071AA"/>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F114F"/>
    <w:rsid w:val="7301303C"/>
    <w:rsid w:val="73024E04"/>
    <w:rsid w:val="730B0185"/>
    <w:rsid w:val="730B2912"/>
    <w:rsid w:val="73117F42"/>
    <w:rsid w:val="73130C07"/>
    <w:rsid w:val="731829E1"/>
    <w:rsid w:val="73266F63"/>
    <w:rsid w:val="732A69D2"/>
    <w:rsid w:val="732E73B4"/>
    <w:rsid w:val="732F0552"/>
    <w:rsid w:val="73353A9D"/>
    <w:rsid w:val="733A4AF0"/>
    <w:rsid w:val="733E5133"/>
    <w:rsid w:val="73470963"/>
    <w:rsid w:val="73482989"/>
    <w:rsid w:val="734B783B"/>
    <w:rsid w:val="73606A76"/>
    <w:rsid w:val="73640D2D"/>
    <w:rsid w:val="73664C31"/>
    <w:rsid w:val="736F39A6"/>
    <w:rsid w:val="736F5ADD"/>
    <w:rsid w:val="737773BC"/>
    <w:rsid w:val="73803D51"/>
    <w:rsid w:val="73825C14"/>
    <w:rsid w:val="73833688"/>
    <w:rsid w:val="73847541"/>
    <w:rsid w:val="73896932"/>
    <w:rsid w:val="738B78DE"/>
    <w:rsid w:val="738E0824"/>
    <w:rsid w:val="738F3A55"/>
    <w:rsid w:val="739942FF"/>
    <w:rsid w:val="73A760F2"/>
    <w:rsid w:val="73B00CC3"/>
    <w:rsid w:val="73B06C67"/>
    <w:rsid w:val="73B72266"/>
    <w:rsid w:val="73BD2509"/>
    <w:rsid w:val="73C55A94"/>
    <w:rsid w:val="73D63DCA"/>
    <w:rsid w:val="73D76FCF"/>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23205"/>
    <w:rsid w:val="74891CF9"/>
    <w:rsid w:val="748B0C7D"/>
    <w:rsid w:val="74903C13"/>
    <w:rsid w:val="74957A0A"/>
    <w:rsid w:val="74A25A03"/>
    <w:rsid w:val="74AB7FDA"/>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3E0E14"/>
    <w:rsid w:val="7542280E"/>
    <w:rsid w:val="7545531A"/>
    <w:rsid w:val="75560317"/>
    <w:rsid w:val="75566F69"/>
    <w:rsid w:val="755D1234"/>
    <w:rsid w:val="755F09DF"/>
    <w:rsid w:val="75675ADF"/>
    <w:rsid w:val="756B54F8"/>
    <w:rsid w:val="756C6582"/>
    <w:rsid w:val="756D4E66"/>
    <w:rsid w:val="756E5D13"/>
    <w:rsid w:val="75733DE7"/>
    <w:rsid w:val="757816ED"/>
    <w:rsid w:val="757A602C"/>
    <w:rsid w:val="7580636A"/>
    <w:rsid w:val="75807648"/>
    <w:rsid w:val="758641B8"/>
    <w:rsid w:val="75A65327"/>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03143"/>
    <w:rsid w:val="75FB7495"/>
    <w:rsid w:val="75FC7D3B"/>
    <w:rsid w:val="75FE31D9"/>
    <w:rsid w:val="75FF0133"/>
    <w:rsid w:val="75FF0244"/>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72951"/>
    <w:rsid w:val="7659095E"/>
    <w:rsid w:val="765A2E54"/>
    <w:rsid w:val="765C20F6"/>
    <w:rsid w:val="7669425E"/>
    <w:rsid w:val="766B3DFC"/>
    <w:rsid w:val="76710E80"/>
    <w:rsid w:val="7672739A"/>
    <w:rsid w:val="767E302B"/>
    <w:rsid w:val="76823B6E"/>
    <w:rsid w:val="768542F9"/>
    <w:rsid w:val="769016B8"/>
    <w:rsid w:val="76932345"/>
    <w:rsid w:val="769F0579"/>
    <w:rsid w:val="76A35D52"/>
    <w:rsid w:val="76A5622D"/>
    <w:rsid w:val="76A633ED"/>
    <w:rsid w:val="76AB5F51"/>
    <w:rsid w:val="76B02504"/>
    <w:rsid w:val="76B576A3"/>
    <w:rsid w:val="76BF45A0"/>
    <w:rsid w:val="76C30824"/>
    <w:rsid w:val="76C428B5"/>
    <w:rsid w:val="76C50EFA"/>
    <w:rsid w:val="76C87FBA"/>
    <w:rsid w:val="76D03D47"/>
    <w:rsid w:val="76D16B19"/>
    <w:rsid w:val="76D36B70"/>
    <w:rsid w:val="76D723E3"/>
    <w:rsid w:val="76DB3BA3"/>
    <w:rsid w:val="76E02C24"/>
    <w:rsid w:val="76E34A56"/>
    <w:rsid w:val="76E56D71"/>
    <w:rsid w:val="76E6140A"/>
    <w:rsid w:val="76ED7808"/>
    <w:rsid w:val="76F1454B"/>
    <w:rsid w:val="76F41B95"/>
    <w:rsid w:val="76F6139A"/>
    <w:rsid w:val="76FA7A7E"/>
    <w:rsid w:val="76FF75D2"/>
    <w:rsid w:val="770268CD"/>
    <w:rsid w:val="77031968"/>
    <w:rsid w:val="77050573"/>
    <w:rsid w:val="77066555"/>
    <w:rsid w:val="77067A75"/>
    <w:rsid w:val="7707185C"/>
    <w:rsid w:val="770760C1"/>
    <w:rsid w:val="770A715A"/>
    <w:rsid w:val="770C2EAD"/>
    <w:rsid w:val="77111055"/>
    <w:rsid w:val="77140ED4"/>
    <w:rsid w:val="7717373F"/>
    <w:rsid w:val="77187B86"/>
    <w:rsid w:val="771C3614"/>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71D77"/>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AC00C4"/>
    <w:rsid w:val="77B05D89"/>
    <w:rsid w:val="77B268BA"/>
    <w:rsid w:val="77B47AEB"/>
    <w:rsid w:val="77B6601D"/>
    <w:rsid w:val="77BB391E"/>
    <w:rsid w:val="77BF6C49"/>
    <w:rsid w:val="77CA4DD0"/>
    <w:rsid w:val="77D7676B"/>
    <w:rsid w:val="77DB02CE"/>
    <w:rsid w:val="77DB70C7"/>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2F5A83"/>
    <w:rsid w:val="78305E38"/>
    <w:rsid w:val="783328A6"/>
    <w:rsid w:val="78367F27"/>
    <w:rsid w:val="783C4C63"/>
    <w:rsid w:val="783F1D19"/>
    <w:rsid w:val="78404234"/>
    <w:rsid w:val="78475B1A"/>
    <w:rsid w:val="784B2E74"/>
    <w:rsid w:val="78520561"/>
    <w:rsid w:val="78531BDB"/>
    <w:rsid w:val="785364C5"/>
    <w:rsid w:val="78556E52"/>
    <w:rsid w:val="785E2773"/>
    <w:rsid w:val="785F6878"/>
    <w:rsid w:val="78631B96"/>
    <w:rsid w:val="786746B9"/>
    <w:rsid w:val="78682E27"/>
    <w:rsid w:val="786B2A6C"/>
    <w:rsid w:val="786C5E43"/>
    <w:rsid w:val="786E7579"/>
    <w:rsid w:val="78714A8B"/>
    <w:rsid w:val="787B626A"/>
    <w:rsid w:val="787E78CF"/>
    <w:rsid w:val="78842FF3"/>
    <w:rsid w:val="7889168E"/>
    <w:rsid w:val="78932A56"/>
    <w:rsid w:val="78957160"/>
    <w:rsid w:val="7897387D"/>
    <w:rsid w:val="78996993"/>
    <w:rsid w:val="789F05FD"/>
    <w:rsid w:val="78A24FBC"/>
    <w:rsid w:val="78A35617"/>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8576E"/>
    <w:rsid w:val="793A1AE4"/>
    <w:rsid w:val="793C7B07"/>
    <w:rsid w:val="79451F4D"/>
    <w:rsid w:val="794621D6"/>
    <w:rsid w:val="794A6843"/>
    <w:rsid w:val="794F4BE2"/>
    <w:rsid w:val="795134B6"/>
    <w:rsid w:val="795473E7"/>
    <w:rsid w:val="795E06F8"/>
    <w:rsid w:val="795E094E"/>
    <w:rsid w:val="795E35AB"/>
    <w:rsid w:val="79620926"/>
    <w:rsid w:val="79681A85"/>
    <w:rsid w:val="79725241"/>
    <w:rsid w:val="79732E77"/>
    <w:rsid w:val="79736CFC"/>
    <w:rsid w:val="79740FDB"/>
    <w:rsid w:val="79743161"/>
    <w:rsid w:val="798B0BA1"/>
    <w:rsid w:val="799255C4"/>
    <w:rsid w:val="799538B1"/>
    <w:rsid w:val="7995465F"/>
    <w:rsid w:val="799C771D"/>
    <w:rsid w:val="799F269A"/>
    <w:rsid w:val="79A350A4"/>
    <w:rsid w:val="79A51DD5"/>
    <w:rsid w:val="79A85B1D"/>
    <w:rsid w:val="79B27C4C"/>
    <w:rsid w:val="79B44F8C"/>
    <w:rsid w:val="79BA2167"/>
    <w:rsid w:val="79BD6F74"/>
    <w:rsid w:val="79BF551C"/>
    <w:rsid w:val="79C120E0"/>
    <w:rsid w:val="79C634A3"/>
    <w:rsid w:val="79C723A4"/>
    <w:rsid w:val="79C74587"/>
    <w:rsid w:val="79CA3BEB"/>
    <w:rsid w:val="79DF3AB5"/>
    <w:rsid w:val="79EA45A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93308"/>
    <w:rsid w:val="7ABB6B96"/>
    <w:rsid w:val="7ABD44B1"/>
    <w:rsid w:val="7AC21F5F"/>
    <w:rsid w:val="7AC33BB3"/>
    <w:rsid w:val="7AC4137C"/>
    <w:rsid w:val="7AC66B15"/>
    <w:rsid w:val="7AC94F89"/>
    <w:rsid w:val="7ACC2F08"/>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B7E69"/>
    <w:rsid w:val="7B61362C"/>
    <w:rsid w:val="7B7501AD"/>
    <w:rsid w:val="7B78034A"/>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2D6C"/>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1F60C9"/>
    <w:rsid w:val="7C234A9B"/>
    <w:rsid w:val="7C236DC4"/>
    <w:rsid w:val="7C272E9E"/>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96FBA"/>
    <w:rsid w:val="7C8B4BD5"/>
    <w:rsid w:val="7C90608C"/>
    <w:rsid w:val="7C997B87"/>
    <w:rsid w:val="7C9A793C"/>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6EF5"/>
    <w:rsid w:val="7D4C7CE9"/>
    <w:rsid w:val="7D50513A"/>
    <w:rsid w:val="7D512D55"/>
    <w:rsid w:val="7D5709AE"/>
    <w:rsid w:val="7D5E2E71"/>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EB3196"/>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639FA"/>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C3AD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03ED"/>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7"/>
    <w:unhideWhenUsed/>
    <w:qFormat/>
    <w:uiPriority w:val="9"/>
    <w:pPr>
      <w:snapToGrid w:val="0"/>
      <w:spacing w:line="240" w:lineRule="auto"/>
      <w:ind w:left="0" w:firstLine="221" w:firstLineChars="100"/>
      <w:jc w:val="both"/>
      <w:outlineLvl w:val="2"/>
    </w:pPr>
    <w:rPr>
      <w:sz w:val="24"/>
    </w:rPr>
  </w:style>
  <w:style w:type="paragraph" w:styleId="5">
    <w:name w:val="heading 4"/>
    <w:basedOn w:val="4"/>
    <w:next w:val="1"/>
    <w:link w:val="66"/>
    <w:qFormat/>
    <w:uiPriority w:val="0"/>
    <w:pPr>
      <w:overflowPunct w:val="0"/>
      <w:spacing w:after="0"/>
      <w:textAlignment w:val="baseline"/>
      <w:outlineLvl w:val="3"/>
    </w:pPr>
    <w:rPr>
      <w:sz w:val="28"/>
      <w:szCs w:val="28"/>
      <w:lang w:val="en-GB"/>
    </w:rPr>
  </w:style>
  <w:style w:type="paragraph" w:styleId="6">
    <w:name w:val="heading 5"/>
    <w:basedOn w:val="1"/>
    <w:next w:val="1"/>
    <w:link w:val="67"/>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9">
    <w:name w:val="Table Elegant"/>
    <w:basedOn w:val="27"/>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31">
    <w:name w:val="page number"/>
    <w:basedOn w:val="30"/>
    <w:unhideWhenUsed/>
    <w:qFormat/>
    <w:uiPriority w:val="99"/>
    <w:rPr>
      <w:rFonts w:hint="default"/>
      <w:sz w:val="24"/>
    </w:rPr>
  </w:style>
  <w:style w:type="character" w:styleId="32">
    <w:name w:val="FollowedHyperlink"/>
    <w:basedOn w:val="30"/>
    <w:semiHidden/>
    <w:unhideWhenUsed/>
    <w:qFormat/>
    <w:uiPriority w:val="99"/>
    <w:rPr>
      <w:color w:val="800080" w:themeColor="followedHyperlink"/>
      <w:u w:val="single"/>
      <w14:textFill>
        <w14:solidFill>
          <w14:schemeClr w14:val="folHlink"/>
        </w14:solidFill>
      </w14:textFill>
    </w:rPr>
  </w:style>
  <w:style w:type="character" w:styleId="33">
    <w:name w:val="Hyperlink"/>
    <w:unhideWhenUsed/>
    <w:qFormat/>
    <w:uiPriority w:val="99"/>
    <w:rPr>
      <w:color w:val="0000FF"/>
      <w:u w:val="single"/>
    </w:rPr>
  </w:style>
  <w:style w:type="character" w:styleId="34">
    <w:name w:val="annotation reference"/>
    <w:basedOn w:val="30"/>
    <w:unhideWhenUsed/>
    <w:qFormat/>
    <w:uiPriority w:val="99"/>
    <w:rPr>
      <w:sz w:val="16"/>
      <w:szCs w:val="16"/>
    </w:rPr>
  </w:style>
  <w:style w:type="character" w:customStyle="1" w:styleId="35">
    <w:name w:val="批注框文本 Char"/>
    <w:link w:val="21"/>
    <w:semiHidden/>
    <w:qFormat/>
    <w:uiPriority w:val="99"/>
    <w:rPr>
      <w:rFonts w:ascii="Tahoma" w:hAnsi="Tahoma" w:cs="Tahoma"/>
      <w:sz w:val="16"/>
      <w:szCs w:val="16"/>
    </w:rPr>
  </w:style>
  <w:style w:type="character" w:customStyle="1" w:styleId="36">
    <w:name w:val="标题 1 Char"/>
    <w:link w:val="2"/>
    <w:qFormat/>
    <w:uiPriority w:val="0"/>
    <w:rPr>
      <w:rFonts w:ascii="Arial" w:hAnsi="Arial" w:eastAsia="黑体"/>
      <w:b/>
      <w:bCs/>
      <w:sz w:val="30"/>
      <w:szCs w:val="30"/>
      <w:lang w:val="zh-CN"/>
    </w:rPr>
  </w:style>
  <w:style w:type="character" w:customStyle="1" w:styleId="37">
    <w:name w:val="页眉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Char"/>
    <w:basedOn w:val="30"/>
    <w:link w:val="15"/>
    <w:qFormat/>
    <w:uiPriority w:val="99"/>
  </w:style>
  <w:style w:type="character" w:customStyle="1" w:styleId="40">
    <w:name w:val="批注主题 Char"/>
    <w:link w:val="26"/>
    <w:semiHidden/>
    <w:qFormat/>
    <w:uiPriority w:val="99"/>
    <w:rPr>
      <w:b/>
      <w:bCs/>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eastAsiaTheme="minorEastAsia"/>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Times New Roman" w:hAnsi="Times New Roman" w:eastAsiaTheme="minorEastAsia"/>
      <w:b/>
      <w:bCs/>
      <w:sz w:val="32"/>
      <w:szCs w:val="32"/>
      <w:lang w:val="en-US" w:eastAsia="zh-CN"/>
    </w:rPr>
  </w:style>
  <w:style w:type="character" w:customStyle="1" w:styleId="47">
    <w:name w:val="标题 3 Char"/>
    <w:link w:val="4"/>
    <w:semiHidden/>
    <w:qFormat/>
    <w:uiPriority w:val="9"/>
    <w:rPr>
      <w:rFonts w:ascii="Times New Roman" w:hAnsi="Times New Roman" w:eastAsiaTheme="minorEastAsia"/>
      <w:b/>
      <w:bCs/>
      <w:sz w:val="24"/>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30"/>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30"/>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30"/>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30"/>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30"/>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link w:val="88"/>
    <w:qFormat/>
    <w:uiPriority w:val="99"/>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character" w:customStyle="1" w:styleId="88">
    <w:name w:val="B1 (文字)"/>
    <w:link w:val="85"/>
    <w:qFormat/>
    <w:locked/>
    <w:uiPriority w:val="99"/>
    <w:rPr>
      <w:rFonts w:ascii="Calibri" w:hAnsi="Calibri" w:eastAsiaTheme="minorEastAsia"/>
      <w:sz w:val="22"/>
      <w:szCs w:val="22"/>
    </w:rPr>
  </w:style>
  <w:style w:type="paragraph" w:customStyle="1" w:styleId="8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0">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1">
    <w:name w:val="列出段落2"/>
    <w:basedOn w:val="1"/>
    <w:qFormat/>
    <w:uiPriority w:val="99"/>
    <w:pPr>
      <w:ind w:firstLine="420" w:firstLineChars="200"/>
    </w:pPr>
  </w:style>
  <w:style w:type="paragraph" w:customStyle="1" w:styleId="92">
    <w:name w:val="3GPP Agreements"/>
    <w:basedOn w:val="1"/>
    <w:qFormat/>
    <w:uiPriority w:val="0"/>
    <w:pPr>
      <w:numPr>
        <w:ilvl w:val="0"/>
        <w:numId w:val="2"/>
      </w:numPr>
      <w:spacing w:before="60" w:after="60"/>
      <w:jc w:val="both"/>
    </w:pPr>
  </w:style>
  <w:style w:type="character" w:customStyle="1" w:styleId="93">
    <w:name w:val="normaltextrun"/>
    <w:qFormat/>
    <w:uiPriority w:val="0"/>
  </w:style>
  <w:style w:type="character" w:customStyle="1" w:styleId="94">
    <w:name w:val="spellingerror"/>
    <w:qFormat/>
    <w:uiPriority w:val="0"/>
  </w:style>
  <w:style w:type="paragraph" w:styleId="95">
    <w:name w:val="List Paragraph"/>
    <w:basedOn w:val="1"/>
    <w:link w:val="112"/>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6">
    <w:name w:val="10"/>
    <w:basedOn w:val="30"/>
    <w:qFormat/>
    <w:uiPriority w:val="0"/>
    <w:rPr>
      <w:rFonts w:hint="default" w:ascii="Times New Roman" w:hAnsi="Times New Roman" w:cs="Times New Roman"/>
    </w:rPr>
  </w:style>
  <w:style w:type="character" w:customStyle="1" w:styleId="97">
    <w:name w:val="15"/>
    <w:basedOn w:val="30"/>
    <w:qFormat/>
    <w:uiPriority w:val="0"/>
    <w:rPr>
      <w:rFonts w:hint="default" w:ascii="Times New Roman" w:hAnsi="Times New Roman" w:cs="Times New Roman"/>
    </w:rPr>
  </w:style>
  <w:style w:type="paragraph" w:customStyle="1" w:styleId="98">
    <w:name w:val="TAL+B1"/>
    <w:basedOn w:val="63"/>
    <w:qFormat/>
    <w:uiPriority w:val="0"/>
    <w:pPr>
      <w:widowControl w:val="0"/>
      <w:spacing w:before="100" w:beforeAutospacing="1" w:line="240" w:lineRule="auto"/>
      <w:ind w:left="284"/>
    </w:pPr>
    <w:rPr>
      <w:rFonts w:eastAsia="Times New Roman"/>
      <w:szCs w:val="18"/>
    </w:rPr>
  </w:style>
  <w:style w:type="paragraph" w:customStyle="1" w:styleId="99">
    <w:name w:val="TAL+B2"/>
    <w:basedOn w:val="98"/>
    <w:qFormat/>
    <w:uiPriority w:val="0"/>
    <w:pPr>
      <w:ind w:left="568"/>
    </w:pPr>
  </w:style>
  <w:style w:type="paragraph" w:customStyle="1" w:styleId="100">
    <w:name w:val="TAL+B3"/>
    <w:basedOn w:val="99"/>
    <w:qFormat/>
    <w:uiPriority w:val="0"/>
    <w:pPr>
      <w:ind w:left="852"/>
    </w:pPr>
  </w:style>
  <w:style w:type="paragraph" w:customStyle="1" w:styleId="101">
    <w:name w:val="TAL+B4"/>
    <w:basedOn w:val="100"/>
    <w:qFormat/>
    <w:uiPriority w:val="0"/>
    <w:pPr>
      <w:ind w:left="1136"/>
    </w:pPr>
  </w:style>
  <w:style w:type="paragraph" w:customStyle="1" w:styleId="102">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3">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4">
    <w:name w:val="EmailDiscussion"/>
    <w:basedOn w:val="1"/>
    <w:next w:val="103"/>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5">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6">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8">
    <w:name w:val="Placeholder Text"/>
    <w:basedOn w:val="30"/>
    <w:semiHidden/>
    <w:qFormat/>
    <w:uiPriority w:val="99"/>
    <w:rPr>
      <w:color w:val="808080"/>
    </w:rPr>
  </w:style>
  <w:style w:type="paragraph" w:customStyle="1" w:styleId="109">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10">
    <w:name w:val="0 Main text"/>
    <w:basedOn w:val="1"/>
    <w:qFormat/>
    <w:uiPriority w:val="0"/>
    <w:pPr>
      <w:jc w:val="both"/>
    </w:pPr>
    <w:rPr>
      <w:rFonts w:ascii="Times New Roman" w:hAnsi="Times New Roman" w:eastAsia="Malgun Gothic"/>
      <w:szCs w:val="20"/>
    </w:rPr>
  </w:style>
  <w:style w:type="paragraph" w:customStyle="1" w:styleId="111">
    <w:name w:val="修订2"/>
    <w:hidden/>
    <w:semiHidden/>
    <w:qFormat/>
    <w:uiPriority w:val="99"/>
    <w:rPr>
      <w:rFonts w:ascii="Calibri" w:hAnsi="Calibri" w:cs="Times New Roman" w:eastAsiaTheme="minorEastAsia"/>
      <w:sz w:val="22"/>
      <w:szCs w:val="22"/>
      <w:lang w:val="en-US" w:eastAsia="zh-CN" w:bidi="ar-SA"/>
    </w:rPr>
  </w:style>
  <w:style w:type="character" w:customStyle="1" w:styleId="112">
    <w:name w:val="列出段落 Char1"/>
    <w:link w:val="95"/>
    <w:qFormat/>
    <w:locked/>
    <w:uiPriority w:val="34"/>
    <w:rPr>
      <w:sz w:val="22"/>
      <w:lang w:eastAsia="ja-JP"/>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1.emf"/><Relationship Id="rId21" Type="http://schemas.openxmlformats.org/officeDocument/2006/relationships/oleObject" Target="embeddings/oleObject5.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4.bin"/><Relationship Id="rId17" Type="http://schemas.openxmlformats.org/officeDocument/2006/relationships/image" Target="media/image8.wmf"/><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C36BF-04FB-4C5B-A1C6-E74C3C40062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5961</Words>
  <Characters>33984</Characters>
  <Lines>283</Lines>
  <Paragraphs>79</Paragraphs>
  <TotalTime>12</TotalTime>
  <ScaleCrop>false</ScaleCrop>
  <LinksUpToDate>false</LinksUpToDate>
  <CharactersWithSpaces>39866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2023-05-13T13:28:43Z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08142AD984B846529BC3F7F3AEAE59AE</vt:lpwstr>
  </property>
</Properties>
</file>